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99" w:rsidRDefault="00605199" w:rsidP="00605199">
      <w:pPr>
        <w:spacing w:after="160" w:line="254" w:lineRule="auto"/>
        <w:jc w:val="center"/>
        <w:rPr>
          <w:rFonts w:ascii="Calibri" w:hAnsi="Calibri" w:cs="Calibri"/>
          <w:b/>
          <w:bCs/>
          <w:color w:val="000000"/>
        </w:rPr>
      </w:pPr>
      <w:r>
        <w:rPr>
          <w:rFonts w:ascii="Calibri" w:hAnsi="Calibri" w:cs="Calibri"/>
          <w:b/>
          <w:bCs/>
          <w:color w:val="000000"/>
        </w:rPr>
        <w:t>City of Stoke on Trent 6</w:t>
      </w:r>
      <w:r w:rsidRPr="00605199">
        <w:rPr>
          <w:rFonts w:ascii="Calibri" w:hAnsi="Calibri" w:cs="Calibri"/>
          <w:b/>
          <w:bCs/>
          <w:color w:val="000000"/>
          <w:vertAlign w:val="superscript"/>
        </w:rPr>
        <w:t>th</w:t>
      </w:r>
      <w:r>
        <w:rPr>
          <w:rFonts w:ascii="Calibri" w:hAnsi="Calibri" w:cs="Calibri"/>
          <w:b/>
          <w:bCs/>
          <w:color w:val="000000"/>
        </w:rPr>
        <w:t xml:space="preserve"> Form </w:t>
      </w:r>
      <w:r w:rsidRPr="00605199">
        <w:rPr>
          <w:rFonts w:ascii="Calibri" w:hAnsi="Calibri" w:cs="Calibri"/>
          <w:b/>
          <w:bCs/>
          <w:color w:val="000000"/>
        </w:rPr>
        <w:t>16 – 19 Tuition Fund Statement:</w:t>
      </w:r>
    </w:p>
    <w:p w:rsidR="00605199" w:rsidRDefault="00605199" w:rsidP="00605199">
      <w:pPr>
        <w:spacing w:after="160" w:line="254" w:lineRule="auto"/>
        <w:jc w:val="center"/>
        <w:rPr>
          <w:rFonts w:ascii="Calibri" w:hAnsi="Calibri" w:cs="Calibri"/>
          <w:b/>
          <w:bCs/>
          <w:color w:val="000000"/>
        </w:rPr>
      </w:pPr>
    </w:p>
    <w:p w:rsidR="00605199" w:rsidRPr="00605199" w:rsidRDefault="00605199" w:rsidP="00605199">
      <w:pPr>
        <w:spacing w:after="160" w:line="254" w:lineRule="auto"/>
        <w:rPr>
          <w:rFonts w:asciiTheme="majorHAnsi" w:hAnsiTheme="majorHAnsi" w:cstheme="majorHAnsi"/>
          <w:color w:val="000000"/>
        </w:rPr>
      </w:pPr>
      <w:r w:rsidRPr="00605199">
        <w:rPr>
          <w:rFonts w:asciiTheme="majorHAnsi" w:hAnsiTheme="majorHAnsi" w:cstheme="majorHAnsi"/>
          <w:lang w:val="en"/>
        </w:rPr>
        <w:t>The 16 to 19 tuition fund is £96 million of one-off funding for the 2020 to 2021 academic year only. It is ring fenced funding for schools, colleges and all other 16 to 19 providers to mitigate the disruption to learning arising from coronavirus (COVID-19).</w:t>
      </w:r>
      <w:r w:rsidRPr="00605199">
        <w:rPr>
          <w:rFonts w:asciiTheme="majorHAnsi" w:hAnsiTheme="majorHAnsi" w:cstheme="majorHAnsi"/>
          <w:lang w:val="en"/>
        </w:rPr>
        <w:t xml:space="preserve"> </w:t>
      </w:r>
      <w:r w:rsidRPr="00605199">
        <w:rPr>
          <w:rFonts w:asciiTheme="majorHAnsi" w:hAnsiTheme="majorHAnsi" w:cstheme="majorHAnsi"/>
          <w:color w:val="000000"/>
        </w:rPr>
        <w:t xml:space="preserve">Further information about this fund is available at </w:t>
      </w:r>
      <w:hyperlink r:id="rId4" w:history="1">
        <w:r w:rsidRPr="00605199">
          <w:rPr>
            <w:rStyle w:val="Hyperlink"/>
            <w:rFonts w:asciiTheme="majorHAnsi" w:hAnsiTheme="majorHAnsi" w:cstheme="majorHAnsi"/>
          </w:rPr>
          <w:t>https://www.gov.uk/guidance/16-to-19-funding-16-to-19-tuition-fund</w:t>
        </w:r>
      </w:hyperlink>
      <w:r w:rsidRPr="00605199">
        <w:rPr>
          <w:rFonts w:asciiTheme="majorHAnsi" w:hAnsiTheme="majorHAnsi" w:cstheme="majorHAnsi"/>
          <w:color w:val="000000"/>
        </w:rPr>
        <w:t> </w:t>
      </w:r>
    </w:p>
    <w:p w:rsidR="00605199" w:rsidRDefault="00605199" w:rsidP="00605199">
      <w:pPr>
        <w:rPr>
          <w:rFonts w:asciiTheme="majorHAnsi" w:hAnsiTheme="majorHAnsi" w:cstheme="majorHAnsi"/>
          <w:color w:val="000000"/>
        </w:rPr>
      </w:pPr>
      <w:r w:rsidRPr="00605199">
        <w:rPr>
          <w:rFonts w:asciiTheme="majorHAnsi" w:hAnsiTheme="majorHAnsi" w:cstheme="majorHAnsi"/>
          <w:color w:val="000000"/>
        </w:rPr>
        <w:t>The conditions of the funding specify that it should be used to support students who did not achieve a grade 5 or above in GCSE English or Maths by age 16. Within this, guidance further clarifies that funding should be prioritised for students who did not, or have not, achieved a grade 4 in GCSE English and Maths. Finally, all supported students must currently be on a 16 to 19 study programme. </w:t>
      </w:r>
      <w:r w:rsidRPr="00605199">
        <w:rPr>
          <w:rFonts w:asciiTheme="majorHAnsi" w:hAnsiTheme="majorHAnsi" w:cstheme="majorHAnsi"/>
          <w:color w:val="000000"/>
        </w:rPr>
        <w:t>T</w:t>
      </w:r>
      <w:r w:rsidRPr="00605199">
        <w:rPr>
          <w:rFonts w:asciiTheme="majorHAnsi" w:hAnsiTheme="majorHAnsi" w:cstheme="majorHAnsi"/>
          <w:color w:val="000000"/>
        </w:rPr>
        <w:t>he guidance also clarifies the expectation that small group tuition constitutes groups of between 3-5 students. </w:t>
      </w:r>
    </w:p>
    <w:p w:rsidR="00605199" w:rsidRPr="00605199" w:rsidRDefault="00605199" w:rsidP="00605199">
      <w:pPr>
        <w:rPr>
          <w:rFonts w:asciiTheme="majorHAnsi" w:hAnsiTheme="majorHAnsi" w:cstheme="majorHAnsi"/>
        </w:rPr>
      </w:pPr>
    </w:p>
    <w:p w:rsidR="00605199" w:rsidRPr="00605199" w:rsidRDefault="00605199" w:rsidP="00605199">
      <w:pPr>
        <w:spacing w:after="160" w:line="254" w:lineRule="auto"/>
        <w:rPr>
          <w:rFonts w:asciiTheme="majorHAnsi" w:hAnsiTheme="majorHAnsi" w:cstheme="majorHAnsi"/>
          <w:color w:val="000000"/>
        </w:rPr>
      </w:pPr>
      <w:r w:rsidRPr="00605199">
        <w:rPr>
          <w:rFonts w:asciiTheme="majorHAnsi" w:hAnsiTheme="majorHAnsi" w:cstheme="majorHAnsi"/>
          <w:color w:val="000000"/>
        </w:rPr>
        <w:t>The College</w:t>
      </w:r>
      <w:r w:rsidRPr="00605199">
        <w:rPr>
          <w:rFonts w:asciiTheme="majorHAnsi" w:hAnsiTheme="majorHAnsi" w:cstheme="majorHAnsi"/>
          <w:color w:val="000000"/>
        </w:rPr>
        <w:t xml:space="preserve"> will be deploying the 16 to 19 Tuition Fund on the following additional provision for students who fulfil the conditions outlined in the </w:t>
      </w:r>
      <w:proofErr w:type="spellStart"/>
      <w:r w:rsidRPr="00605199">
        <w:rPr>
          <w:rFonts w:asciiTheme="majorHAnsi" w:hAnsiTheme="majorHAnsi" w:cstheme="majorHAnsi"/>
          <w:color w:val="000000"/>
        </w:rPr>
        <w:t>DfE</w:t>
      </w:r>
      <w:proofErr w:type="spellEnd"/>
      <w:r w:rsidRPr="00605199">
        <w:rPr>
          <w:rFonts w:asciiTheme="majorHAnsi" w:hAnsiTheme="majorHAnsi" w:cstheme="majorHAnsi"/>
          <w:color w:val="000000"/>
        </w:rPr>
        <w:t xml:space="preserve"> guidance described above, whose learning has been disrupted by the Coronavirus.  </w:t>
      </w:r>
    </w:p>
    <w:p w:rsidR="00605199" w:rsidRDefault="00605199">
      <w:bookmarkStart w:id="0" w:name="_GoBack"/>
      <w:bookmarkEnd w:id="0"/>
    </w:p>
    <w:tbl>
      <w:tblPr>
        <w:tblW w:w="8932" w:type="dxa"/>
        <w:jc w:val="center"/>
        <w:tblCellMar>
          <w:left w:w="0" w:type="dxa"/>
          <w:right w:w="0" w:type="dxa"/>
        </w:tblCellMar>
        <w:tblLook w:val="04A0" w:firstRow="1" w:lastRow="0" w:firstColumn="1" w:lastColumn="0" w:noHBand="0" w:noVBand="1"/>
      </w:tblPr>
      <w:tblGrid>
        <w:gridCol w:w="2100"/>
        <w:gridCol w:w="6832"/>
      </w:tblGrid>
      <w:tr w:rsidR="00605199" w:rsidTr="00605199">
        <w:trPr>
          <w:jc w:val="center"/>
        </w:trPr>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b/>
                <w:bCs/>
                <w:color w:val="1F497D"/>
                <w:sz w:val="22"/>
                <w:szCs w:val="22"/>
                <w:lang w:eastAsia="en-US"/>
              </w:rPr>
              <w:t>Curriculum Area </w:t>
            </w:r>
          </w:p>
        </w:tc>
        <w:tc>
          <w:tcPr>
            <w:tcW w:w="6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b/>
                <w:bCs/>
                <w:color w:val="1F497D"/>
                <w:sz w:val="22"/>
                <w:szCs w:val="22"/>
                <w:lang w:eastAsia="en-US"/>
              </w:rPr>
              <w:t>Detail </w:t>
            </w:r>
          </w:p>
        </w:tc>
      </w:tr>
      <w:tr w:rsidR="00605199" w:rsidTr="00605199">
        <w:trPr>
          <w:jc w:val="center"/>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GCSE English </w:t>
            </w:r>
          </w:p>
        </w:tc>
        <w:tc>
          <w:tcPr>
            <w:tcW w:w="6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Additional hours of small group tuition support from a qualified GCSE English teacher. </w:t>
            </w:r>
          </w:p>
        </w:tc>
      </w:tr>
      <w:tr w:rsidR="00605199" w:rsidTr="00605199">
        <w:trPr>
          <w:jc w:val="center"/>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GCSE Maths</w:t>
            </w:r>
          </w:p>
        </w:tc>
        <w:tc>
          <w:tcPr>
            <w:tcW w:w="6832" w:type="dxa"/>
            <w:tcBorders>
              <w:top w:val="nil"/>
              <w:left w:val="nil"/>
              <w:bottom w:val="single" w:sz="8" w:space="0" w:color="auto"/>
              <w:right w:val="single" w:sz="8" w:space="0" w:color="auto"/>
            </w:tcBorders>
            <w:tcMar>
              <w:top w:w="0" w:type="dxa"/>
              <w:left w:w="108" w:type="dxa"/>
              <w:bottom w:w="0" w:type="dxa"/>
              <w:right w:w="108" w:type="dxa"/>
            </w:tcMar>
            <w:vAlign w:val="center"/>
          </w:tcPr>
          <w:p w:rsidR="00605199" w:rsidRDefault="00605199" w:rsidP="00605199">
            <w:pPr>
              <w:rPr>
                <w:rFonts w:ascii="Calibri" w:hAnsi="Calibri" w:cs="Calibri"/>
                <w:color w:val="1F497D"/>
                <w:sz w:val="22"/>
                <w:szCs w:val="22"/>
                <w:lang w:eastAsia="en-US"/>
              </w:rPr>
            </w:pPr>
            <w:r>
              <w:rPr>
                <w:rFonts w:ascii="Calibri" w:hAnsi="Calibri" w:cs="Calibri"/>
                <w:color w:val="1F497D"/>
                <w:sz w:val="22"/>
                <w:szCs w:val="22"/>
                <w:lang w:eastAsia="en-US"/>
              </w:rPr>
              <w:t xml:space="preserve">Additional hours of small group tuition support from a qualified GCSE </w:t>
            </w:r>
            <w:r>
              <w:rPr>
                <w:rFonts w:ascii="Calibri" w:hAnsi="Calibri" w:cs="Calibri"/>
                <w:color w:val="1F497D"/>
                <w:sz w:val="22"/>
                <w:szCs w:val="22"/>
                <w:lang w:eastAsia="en-US"/>
              </w:rPr>
              <w:t>Maths</w:t>
            </w:r>
            <w:r>
              <w:rPr>
                <w:rFonts w:ascii="Calibri" w:hAnsi="Calibri" w:cs="Calibri"/>
                <w:color w:val="1F497D"/>
                <w:sz w:val="22"/>
                <w:szCs w:val="22"/>
                <w:lang w:eastAsia="en-US"/>
              </w:rPr>
              <w:t xml:space="preserve"> teacher. </w:t>
            </w:r>
          </w:p>
        </w:tc>
      </w:tr>
      <w:tr w:rsidR="00605199" w:rsidTr="00605199">
        <w:trPr>
          <w:jc w:val="center"/>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GCSE Media</w:t>
            </w:r>
          </w:p>
        </w:tc>
        <w:tc>
          <w:tcPr>
            <w:tcW w:w="6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Additional hours of small group tuition support from a qualified GCSE Media teacher. </w:t>
            </w:r>
          </w:p>
        </w:tc>
      </w:tr>
      <w:tr w:rsidR="00605199" w:rsidTr="00605199">
        <w:trPr>
          <w:jc w:val="center"/>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GCSE Art</w:t>
            </w:r>
          </w:p>
        </w:tc>
        <w:tc>
          <w:tcPr>
            <w:tcW w:w="6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Additional hours of small group tuition support from a qualified Art teacher. </w:t>
            </w:r>
          </w:p>
        </w:tc>
      </w:tr>
      <w:tr w:rsidR="00605199" w:rsidTr="00605199">
        <w:trPr>
          <w:jc w:val="center"/>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Bronze Art Award </w:t>
            </w:r>
          </w:p>
        </w:tc>
        <w:tc>
          <w:tcPr>
            <w:tcW w:w="6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Additional hours of small group tuition support from a qualified Public Services teacher. </w:t>
            </w:r>
          </w:p>
        </w:tc>
      </w:tr>
      <w:tr w:rsidR="00605199" w:rsidTr="00605199">
        <w:trPr>
          <w:jc w:val="center"/>
        </w:trPr>
        <w:tc>
          <w:tcPr>
            <w:tcW w:w="210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Additional Tuition Fund support </w:t>
            </w:r>
          </w:p>
        </w:tc>
        <w:tc>
          <w:tcPr>
            <w:tcW w:w="683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Ensuring optimum impact of the small group tuition through additional mentoring opportunities for students and relevant and necessary upskilling of staff involved.  </w:t>
            </w:r>
          </w:p>
        </w:tc>
      </w:tr>
      <w:tr w:rsidR="00605199" w:rsidTr="00605199">
        <w:trPr>
          <w:jc w:val="center"/>
        </w:trPr>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5199" w:rsidRDefault="00605199">
            <w:pPr>
              <w:rPr>
                <w:rFonts w:ascii="Calibri" w:hAnsi="Calibri" w:cs="Calibri"/>
                <w:color w:val="1F497D"/>
                <w:sz w:val="22"/>
                <w:szCs w:val="22"/>
                <w:lang w:eastAsia="en-US"/>
              </w:rPr>
            </w:pPr>
            <w:r>
              <w:rPr>
                <w:rFonts w:ascii="Calibri" w:hAnsi="Calibri" w:cs="Calibri"/>
                <w:color w:val="1F497D"/>
                <w:sz w:val="22"/>
                <w:szCs w:val="22"/>
                <w:lang w:eastAsia="en-US"/>
              </w:rPr>
              <w:t>Public Services</w:t>
            </w:r>
          </w:p>
        </w:tc>
        <w:tc>
          <w:tcPr>
            <w:tcW w:w="6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5199" w:rsidRDefault="00605199">
            <w:pPr>
              <w:rPr>
                <w:rFonts w:ascii="Calibri" w:hAnsi="Calibri" w:cs="Calibri"/>
                <w:color w:val="1F497D"/>
                <w:sz w:val="22"/>
                <w:szCs w:val="22"/>
                <w:lang w:eastAsia="en-US"/>
              </w:rPr>
            </w:pPr>
            <w:r w:rsidRPr="00605199">
              <w:rPr>
                <w:rFonts w:ascii="Calibri" w:hAnsi="Calibri" w:cs="Calibri"/>
                <w:color w:val="1F4E79" w:themeColor="accent1" w:themeShade="80"/>
                <w:sz w:val="22"/>
                <w:szCs w:val="22"/>
              </w:rPr>
              <w:t>Additional hours of small group tuition support from a qualified Public Services teacher. </w:t>
            </w:r>
          </w:p>
        </w:tc>
      </w:tr>
    </w:tbl>
    <w:p w:rsidR="00605199" w:rsidRDefault="00605199" w:rsidP="00605199">
      <w:pPr>
        <w:rPr>
          <w:rFonts w:ascii="Calibri" w:hAnsi="Calibri" w:cs="Calibri"/>
          <w:color w:val="1F497D"/>
          <w:sz w:val="22"/>
          <w:szCs w:val="22"/>
          <w:lang w:eastAsia="en-US"/>
        </w:rPr>
      </w:pPr>
    </w:p>
    <w:sectPr w:rsidR="0060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99"/>
    <w:rsid w:val="000E7D1C"/>
    <w:rsid w:val="0060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E65F"/>
  <w15:chartTrackingRefBased/>
  <w15:docId w15:val="{6A47F492-09E3-4F65-8962-712E667B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9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5865">
      <w:bodyDiv w:val="1"/>
      <w:marLeft w:val="0"/>
      <w:marRight w:val="0"/>
      <w:marTop w:val="0"/>
      <w:marBottom w:val="0"/>
      <w:divBdr>
        <w:top w:val="none" w:sz="0" w:space="0" w:color="auto"/>
        <w:left w:val="none" w:sz="0" w:space="0" w:color="auto"/>
        <w:bottom w:val="none" w:sz="0" w:space="0" w:color="auto"/>
        <w:right w:val="none" w:sz="0" w:space="0" w:color="auto"/>
      </w:divBdr>
    </w:div>
    <w:div w:id="1287660737">
      <w:bodyDiv w:val="1"/>
      <w:marLeft w:val="0"/>
      <w:marRight w:val="0"/>
      <w:marTop w:val="0"/>
      <w:marBottom w:val="0"/>
      <w:divBdr>
        <w:top w:val="none" w:sz="0" w:space="0" w:color="auto"/>
        <w:left w:val="none" w:sz="0" w:space="0" w:color="auto"/>
        <w:bottom w:val="none" w:sz="0" w:space="0" w:color="auto"/>
        <w:right w:val="none" w:sz="0" w:space="0" w:color="auto"/>
      </w:divBdr>
    </w:div>
    <w:div w:id="19217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uidance/16-to-19-funding-16-to-19-tui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Stoke Sixthform</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Gaygan</dc:creator>
  <cp:keywords/>
  <dc:description/>
  <cp:lastModifiedBy>Claire Gaygan</cp:lastModifiedBy>
  <cp:revision>1</cp:revision>
  <dcterms:created xsi:type="dcterms:W3CDTF">2021-01-26T10:14:00Z</dcterms:created>
  <dcterms:modified xsi:type="dcterms:W3CDTF">2021-01-26T10:26:00Z</dcterms:modified>
</cp:coreProperties>
</file>