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41"/>
      </w:tblGrid>
      <w:tr w:rsidR="0074030C" w:rsidRPr="00C7792D" w14:paraId="328EC862" w14:textId="77777777" w:rsidTr="0074030C">
        <w:trPr>
          <w:trHeight w:val="983"/>
        </w:trPr>
        <w:tc>
          <w:tcPr>
            <w:tcW w:w="6941" w:type="dxa"/>
            <w:tcBorders>
              <w:top w:val="nil"/>
              <w:left w:val="nil"/>
              <w:bottom w:val="nil"/>
              <w:right w:val="nil"/>
            </w:tcBorders>
            <w:vAlign w:val="center"/>
          </w:tcPr>
          <w:p w14:paraId="6CCF8E21" w14:textId="77777777" w:rsidR="0074030C" w:rsidRPr="003C087F" w:rsidRDefault="003C087F" w:rsidP="00E017CA">
            <w:pPr>
              <w:rPr>
                <w:rFonts w:asciiTheme="minorHAnsi" w:hAnsiTheme="minorHAnsi" w:cstheme="minorHAnsi"/>
                <w:b/>
                <w:sz w:val="36"/>
                <w:szCs w:val="36"/>
              </w:rPr>
            </w:pPr>
            <w:r w:rsidRPr="003C087F">
              <w:rPr>
                <w:rFonts w:asciiTheme="minorHAnsi" w:hAnsiTheme="minorHAnsi" w:cstheme="minorHAnsi"/>
                <w:b/>
                <w:sz w:val="36"/>
                <w:szCs w:val="36"/>
              </w:rPr>
              <w:t>BURSARY AND FREE SCHOOL MEAL POLICY</w:t>
            </w:r>
          </w:p>
          <w:p w14:paraId="718C686B" w14:textId="77777777" w:rsidR="00AA0F68" w:rsidRPr="003C087F" w:rsidRDefault="003C087F" w:rsidP="00E017CA">
            <w:pPr>
              <w:rPr>
                <w:rFonts w:asciiTheme="minorHAnsi" w:hAnsiTheme="minorHAnsi" w:cstheme="minorHAnsi"/>
                <w:i/>
                <w:sz w:val="36"/>
                <w:szCs w:val="36"/>
              </w:rPr>
            </w:pPr>
            <w:r w:rsidRPr="003C087F">
              <w:rPr>
                <w:rFonts w:asciiTheme="minorHAnsi" w:hAnsiTheme="minorHAnsi" w:cstheme="minorHAnsi"/>
                <w:i/>
                <w:sz w:val="36"/>
                <w:szCs w:val="36"/>
              </w:rPr>
              <w:t>SIXTH FORM COLLEGE</w:t>
            </w:r>
          </w:p>
        </w:tc>
      </w:tr>
    </w:tbl>
    <w:p w14:paraId="2AAA26A7" w14:textId="77777777" w:rsidR="0079798D" w:rsidRPr="00C7792D" w:rsidRDefault="0074030C" w:rsidP="00E017CA">
      <w:pPr>
        <w:ind w:right="2410"/>
        <w:rPr>
          <w:rFonts w:asciiTheme="minorHAnsi" w:hAnsiTheme="minorHAnsi" w:cstheme="minorHAnsi"/>
          <w:b/>
          <w:sz w:val="22"/>
          <w:szCs w:val="22"/>
        </w:rPr>
      </w:pPr>
      <w:r w:rsidRPr="00C7792D">
        <w:rPr>
          <w:rFonts w:asciiTheme="minorHAnsi" w:eastAsia="Arial Unicode MS" w:hAnsiTheme="minorHAnsi" w:cstheme="minorHAnsi"/>
          <w:noProof/>
          <w:color w:val="000000" w:themeColor="text1"/>
          <w:sz w:val="22"/>
          <w:szCs w:val="22"/>
          <w:highlight w:val="yellow"/>
          <w:lang w:eastAsia="en-GB"/>
        </w:rPr>
        <w:drawing>
          <wp:anchor distT="0" distB="0" distL="114300" distR="114300" simplePos="0" relativeHeight="251660288" behindDoc="0" locked="0" layoutInCell="1" allowOverlap="1" wp14:anchorId="69E87ECE" wp14:editId="17559CF3">
            <wp:simplePos x="0" y="0"/>
            <wp:positionH relativeFrom="column">
              <wp:posOffset>4562475</wp:posOffset>
            </wp:positionH>
            <wp:positionV relativeFrom="page">
              <wp:posOffset>452755</wp:posOffset>
            </wp:positionV>
            <wp:extent cx="1616075" cy="1533525"/>
            <wp:effectExtent l="0" t="0" r="3175" b="952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_logo_updated.png"/>
                    <pic:cNvPicPr/>
                  </pic:nvPicPr>
                  <pic:blipFill>
                    <a:blip r:embed="rId11">
                      <a:extLst>
                        <a:ext uri="{28A0092B-C50C-407E-A947-70E740481C1C}">
                          <a14:useLocalDpi xmlns:a14="http://schemas.microsoft.com/office/drawing/2010/main" val="0"/>
                        </a:ext>
                      </a:extLst>
                    </a:blip>
                    <a:stretch>
                      <a:fillRect/>
                    </a:stretch>
                  </pic:blipFill>
                  <pic:spPr>
                    <a:xfrm>
                      <a:off x="0" y="0"/>
                      <a:ext cx="1616075" cy="1533525"/>
                    </a:xfrm>
                    <a:prstGeom prst="rect">
                      <a:avLst/>
                    </a:prstGeom>
                  </pic:spPr>
                </pic:pic>
              </a:graphicData>
            </a:graphic>
            <wp14:sizeRelH relativeFrom="margin">
              <wp14:pctWidth>0</wp14:pctWidth>
            </wp14:sizeRelH>
            <wp14:sizeRelV relativeFrom="margin">
              <wp14:pctHeight>0</wp14:pctHeight>
            </wp14:sizeRelV>
          </wp:anchor>
        </w:drawing>
      </w:r>
    </w:p>
    <w:p w14:paraId="5C99A058" w14:textId="77777777" w:rsidR="0079798D" w:rsidRPr="00C7792D" w:rsidRDefault="0079798D" w:rsidP="00E017CA">
      <w:pPr>
        <w:rPr>
          <w:rFonts w:asciiTheme="minorHAnsi" w:hAnsiTheme="minorHAnsi" w:cstheme="minorHAnsi"/>
          <w:sz w:val="22"/>
          <w:szCs w:val="22"/>
        </w:rPr>
      </w:pPr>
    </w:p>
    <w:p w14:paraId="0CA93B58" w14:textId="77777777" w:rsidR="0081276F" w:rsidRPr="00C7792D" w:rsidRDefault="0081276F" w:rsidP="00E017CA">
      <w:pPr>
        <w:rPr>
          <w:rFonts w:asciiTheme="minorHAnsi" w:hAnsiTheme="minorHAnsi" w:cstheme="minorHAnsi"/>
          <w:sz w:val="22"/>
          <w:szCs w:val="2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gridCol w:w="6804"/>
      </w:tblGrid>
      <w:tr w:rsidR="0081276F" w:rsidRPr="00C7792D" w14:paraId="6B831417" w14:textId="77777777" w:rsidTr="00450D46">
        <w:trPr>
          <w:trHeight w:val="351"/>
        </w:trPr>
        <w:tc>
          <w:tcPr>
            <w:tcW w:w="2415" w:type="dxa"/>
            <w:tcBorders>
              <w:bottom w:val="single" w:sz="4" w:space="0" w:color="auto"/>
            </w:tcBorders>
            <w:shd w:val="clear" w:color="auto" w:fill="9CC2E5"/>
            <w:tcMar>
              <w:left w:w="57" w:type="dxa"/>
            </w:tcMar>
            <w:vAlign w:val="center"/>
          </w:tcPr>
          <w:p w14:paraId="53565D9C" w14:textId="77777777" w:rsidR="0081276F" w:rsidRPr="005A79D4" w:rsidRDefault="0081276F" w:rsidP="00E017CA">
            <w:pPr>
              <w:rPr>
                <w:rFonts w:asciiTheme="minorHAnsi" w:eastAsia="Arial Unicode MS" w:hAnsiTheme="minorHAnsi" w:cstheme="minorHAnsi"/>
                <w:b/>
                <w:color w:val="000000" w:themeColor="text1"/>
                <w:sz w:val="22"/>
                <w:szCs w:val="22"/>
              </w:rPr>
            </w:pPr>
            <w:r w:rsidRPr="005A79D4">
              <w:rPr>
                <w:rFonts w:asciiTheme="minorHAnsi" w:eastAsia="Arial Unicode MS" w:hAnsiTheme="minorHAnsi" w:cstheme="minorHAnsi"/>
                <w:b/>
                <w:color w:val="000000" w:themeColor="text1"/>
                <w:sz w:val="22"/>
                <w:szCs w:val="22"/>
              </w:rPr>
              <w:t>Policy Family</w:t>
            </w:r>
          </w:p>
        </w:tc>
        <w:tc>
          <w:tcPr>
            <w:tcW w:w="6804" w:type="dxa"/>
            <w:tcBorders>
              <w:bottom w:val="single" w:sz="4" w:space="0" w:color="auto"/>
            </w:tcBorders>
            <w:shd w:val="clear" w:color="auto" w:fill="C6D9F1" w:themeFill="text2" w:themeFillTint="33"/>
            <w:vAlign w:val="center"/>
          </w:tcPr>
          <w:p w14:paraId="3351FDD1" w14:textId="77777777" w:rsidR="0081276F" w:rsidRPr="005A79D4" w:rsidRDefault="009D4E88" w:rsidP="00350238">
            <w:pPr>
              <w:rPr>
                <w:rFonts w:asciiTheme="minorHAnsi" w:eastAsia="Arial Unicode MS" w:hAnsiTheme="minorHAnsi" w:cstheme="minorHAnsi"/>
                <w:color w:val="000000" w:themeColor="text1"/>
                <w:sz w:val="22"/>
                <w:szCs w:val="22"/>
              </w:rPr>
            </w:pPr>
            <w:r w:rsidRPr="005A79D4">
              <w:rPr>
                <w:rFonts w:asciiTheme="minorHAnsi" w:eastAsia="Arial Unicode MS" w:hAnsiTheme="minorHAnsi" w:cstheme="minorHAnsi"/>
                <w:color w:val="000000" w:themeColor="text1"/>
                <w:sz w:val="22"/>
                <w:szCs w:val="22"/>
              </w:rPr>
              <w:t>Finance</w:t>
            </w:r>
            <w:r w:rsidR="004F07FB" w:rsidRPr="005A79D4">
              <w:rPr>
                <w:rFonts w:asciiTheme="minorHAnsi" w:eastAsia="Arial Unicode MS" w:hAnsiTheme="minorHAnsi" w:cstheme="minorHAnsi"/>
                <w:color w:val="000000" w:themeColor="text1"/>
                <w:sz w:val="22"/>
                <w:szCs w:val="22"/>
              </w:rPr>
              <w:t xml:space="preserve"> </w:t>
            </w:r>
          </w:p>
        </w:tc>
      </w:tr>
      <w:tr w:rsidR="0081276F" w:rsidRPr="00C7792D" w14:paraId="07D5D17A" w14:textId="77777777" w:rsidTr="00450D46">
        <w:trPr>
          <w:trHeight w:val="351"/>
        </w:trPr>
        <w:tc>
          <w:tcPr>
            <w:tcW w:w="2415" w:type="dxa"/>
            <w:tcBorders>
              <w:top w:val="single" w:sz="4" w:space="0" w:color="auto"/>
            </w:tcBorders>
            <w:shd w:val="clear" w:color="auto" w:fill="9CC2E5"/>
            <w:tcMar>
              <w:left w:w="57" w:type="dxa"/>
            </w:tcMar>
            <w:vAlign w:val="center"/>
          </w:tcPr>
          <w:p w14:paraId="1EA6960B" w14:textId="77777777" w:rsidR="0081276F" w:rsidRPr="00C7792D" w:rsidRDefault="0081276F"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Reference</w:t>
            </w:r>
          </w:p>
        </w:tc>
        <w:tc>
          <w:tcPr>
            <w:tcW w:w="6804" w:type="dxa"/>
            <w:tcBorders>
              <w:top w:val="single" w:sz="4" w:space="0" w:color="auto"/>
            </w:tcBorders>
            <w:shd w:val="clear" w:color="auto" w:fill="C6D9F1" w:themeFill="text2" w:themeFillTint="33"/>
            <w:vAlign w:val="center"/>
          </w:tcPr>
          <w:p w14:paraId="77D6D5D2" w14:textId="77777777" w:rsidR="0081276F" w:rsidRPr="00C7792D" w:rsidRDefault="003C087F" w:rsidP="00E017CA">
            <w:pPr>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SFC-17</w:t>
            </w:r>
          </w:p>
        </w:tc>
      </w:tr>
    </w:tbl>
    <w:p w14:paraId="30D1F649" w14:textId="77777777" w:rsidR="00450D46" w:rsidRPr="00C7792D" w:rsidRDefault="00450D46" w:rsidP="00E017CA">
      <w:pPr>
        <w:rPr>
          <w:rFonts w:asciiTheme="minorHAnsi" w:hAnsiTheme="minorHAnsi" w:cstheme="minorHAnsi"/>
          <w:sz w:val="22"/>
          <w:szCs w:val="2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gridCol w:w="6804"/>
      </w:tblGrid>
      <w:tr w:rsidR="0081276F" w:rsidRPr="00C7792D" w14:paraId="09F28C17" w14:textId="77777777" w:rsidTr="00450D46">
        <w:trPr>
          <w:trHeight w:val="351"/>
        </w:trPr>
        <w:tc>
          <w:tcPr>
            <w:tcW w:w="2415" w:type="dxa"/>
            <w:shd w:val="clear" w:color="auto" w:fill="9CC2E5"/>
            <w:tcMar>
              <w:left w:w="57" w:type="dxa"/>
            </w:tcMar>
            <w:vAlign w:val="center"/>
          </w:tcPr>
          <w:p w14:paraId="01E21482" w14:textId="77777777" w:rsidR="0081276F" w:rsidRPr="00C7792D" w:rsidRDefault="0081276F"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Responsible Manager</w:t>
            </w:r>
          </w:p>
        </w:tc>
        <w:tc>
          <w:tcPr>
            <w:tcW w:w="6804" w:type="dxa"/>
            <w:shd w:val="clear" w:color="auto" w:fill="C6D9F1" w:themeFill="text2" w:themeFillTint="33"/>
            <w:vAlign w:val="center"/>
          </w:tcPr>
          <w:p w14:paraId="5939655D" w14:textId="77777777" w:rsidR="0081276F" w:rsidRPr="00C7792D" w:rsidRDefault="003C087F" w:rsidP="00E017CA">
            <w:pPr>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Deputy Principal</w:t>
            </w:r>
          </w:p>
        </w:tc>
      </w:tr>
    </w:tbl>
    <w:p w14:paraId="38F4F6AB" w14:textId="77777777" w:rsidR="00450D46" w:rsidRPr="00C7792D" w:rsidRDefault="00450D46" w:rsidP="00E017CA">
      <w:pPr>
        <w:rPr>
          <w:rFonts w:asciiTheme="minorHAnsi" w:hAnsiTheme="minorHAnsi" w:cstheme="minorHAnsi"/>
          <w:sz w:val="22"/>
          <w:szCs w:val="2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gridCol w:w="6804"/>
      </w:tblGrid>
      <w:tr w:rsidR="0081276F" w:rsidRPr="00C7792D" w14:paraId="6F88FE8C" w14:textId="77777777" w:rsidTr="00450D46">
        <w:trPr>
          <w:trHeight w:val="351"/>
        </w:trPr>
        <w:tc>
          <w:tcPr>
            <w:tcW w:w="2415" w:type="dxa"/>
            <w:tcBorders>
              <w:bottom w:val="single" w:sz="4" w:space="0" w:color="auto"/>
            </w:tcBorders>
            <w:shd w:val="clear" w:color="auto" w:fill="9CC2E5"/>
            <w:tcMar>
              <w:left w:w="57" w:type="dxa"/>
            </w:tcMar>
            <w:vAlign w:val="center"/>
          </w:tcPr>
          <w:p w14:paraId="28A7CD52" w14:textId="77777777" w:rsidR="0081276F" w:rsidRPr="00C7792D" w:rsidRDefault="0081276F"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Approval Date</w:t>
            </w:r>
          </w:p>
        </w:tc>
        <w:tc>
          <w:tcPr>
            <w:tcW w:w="6804" w:type="dxa"/>
            <w:tcBorders>
              <w:bottom w:val="single" w:sz="4" w:space="0" w:color="auto"/>
            </w:tcBorders>
            <w:shd w:val="clear" w:color="auto" w:fill="C6D9F1" w:themeFill="text2" w:themeFillTint="33"/>
            <w:vAlign w:val="center"/>
          </w:tcPr>
          <w:p w14:paraId="487C9C67" w14:textId="77777777" w:rsidR="0081276F" w:rsidRPr="00C7792D" w:rsidRDefault="003C087F" w:rsidP="00E017CA">
            <w:pPr>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May 2021</w:t>
            </w:r>
          </w:p>
        </w:tc>
      </w:tr>
      <w:tr w:rsidR="0081276F" w:rsidRPr="00C7792D" w14:paraId="59D82ED9" w14:textId="77777777" w:rsidTr="00450D46">
        <w:trPr>
          <w:trHeight w:val="351"/>
        </w:trPr>
        <w:tc>
          <w:tcPr>
            <w:tcW w:w="2415" w:type="dxa"/>
            <w:tcBorders>
              <w:top w:val="single" w:sz="4" w:space="0" w:color="auto"/>
              <w:bottom w:val="single" w:sz="4" w:space="0" w:color="auto"/>
            </w:tcBorders>
            <w:shd w:val="clear" w:color="auto" w:fill="9CC2E5"/>
            <w:tcMar>
              <w:left w:w="57" w:type="dxa"/>
            </w:tcMar>
            <w:vAlign w:val="center"/>
          </w:tcPr>
          <w:p w14:paraId="759A269C" w14:textId="77777777" w:rsidR="0081276F" w:rsidRPr="00C7792D" w:rsidRDefault="00450D46"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Issue Number</w:t>
            </w:r>
          </w:p>
        </w:tc>
        <w:tc>
          <w:tcPr>
            <w:tcW w:w="6804" w:type="dxa"/>
            <w:tcBorders>
              <w:top w:val="single" w:sz="4" w:space="0" w:color="auto"/>
              <w:bottom w:val="single" w:sz="4" w:space="0" w:color="auto"/>
            </w:tcBorders>
            <w:shd w:val="clear" w:color="auto" w:fill="C6D9F1" w:themeFill="text2" w:themeFillTint="33"/>
            <w:vAlign w:val="center"/>
          </w:tcPr>
          <w:p w14:paraId="35C8224A" w14:textId="77777777" w:rsidR="0081276F" w:rsidRPr="00C7792D" w:rsidRDefault="003C087F" w:rsidP="00E017CA">
            <w:pPr>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1</w:t>
            </w:r>
          </w:p>
        </w:tc>
      </w:tr>
      <w:tr w:rsidR="00450D46" w:rsidRPr="00C7792D" w14:paraId="095DADCA" w14:textId="77777777" w:rsidTr="00450D46">
        <w:trPr>
          <w:trHeight w:val="351"/>
        </w:trPr>
        <w:tc>
          <w:tcPr>
            <w:tcW w:w="2415" w:type="dxa"/>
            <w:tcBorders>
              <w:top w:val="single" w:sz="4" w:space="0" w:color="auto"/>
            </w:tcBorders>
            <w:shd w:val="clear" w:color="auto" w:fill="9CC2E5"/>
            <w:tcMar>
              <w:left w:w="57" w:type="dxa"/>
            </w:tcMar>
            <w:vAlign w:val="center"/>
          </w:tcPr>
          <w:p w14:paraId="558A1CFD" w14:textId="77777777" w:rsidR="00450D46" w:rsidRPr="00C7792D" w:rsidRDefault="00450D46"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Review Date</w:t>
            </w:r>
          </w:p>
        </w:tc>
        <w:tc>
          <w:tcPr>
            <w:tcW w:w="6804" w:type="dxa"/>
            <w:tcBorders>
              <w:top w:val="single" w:sz="4" w:space="0" w:color="auto"/>
            </w:tcBorders>
            <w:shd w:val="clear" w:color="auto" w:fill="C6D9F1" w:themeFill="text2" w:themeFillTint="33"/>
            <w:vAlign w:val="center"/>
          </w:tcPr>
          <w:p w14:paraId="2E86EDCD" w14:textId="77777777" w:rsidR="00450D46" w:rsidRPr="00C7792D" w:rsidRDefault="003C087F" w:rsidP="00E017CA">
            <w:pPr>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May 2024</w:t>
            </w:r>
          </w:p>
        </w:tc>
      </w:tr>
    </w:tbl>
    <w:p w14:paraId="69E0C977" w14:textId="77777777" w:rsidR="0079798D" w:rsidRPr="00C7792D" w:rsidRDefault="0079798D" w:rsidP="00E017CA">
      <w:pPr>
        <w:rPr>
          <w:rFonts w:asciiTheme="minorHAnsi" w:hAnsiTheme="minorHAnsi" w:cstheme="minorHAnsi"/>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DC39D2" w:rsidRPr="00C7792D" w14:paraId="129E6ADB" w14:textId="77777777" w:rsidTr="00221CEF">
        <w:trPr>
          <w:trHeight w:val="299"/>
        </w:trPr>
        <w:tc>
          <w:tcPr>
            <w:tcW w:w="9214" w:type="dxa"/>
            <w:shd w:val="clear" w:color="auto" w:fill="9CC2E5"/>
            <w:tcMar>
              <w:left w:w="57" w:type="dxa"/>
            </w:tcMar>
            <w:vAlign w:val="center"/>
          </w:tcPr>
          <w:p w14:paraId="6F9DC513" w14:textId="77777777" w:rsidR="00DC39D2"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Aim</w:t>
            </w:r>
          </w:p>
        </w:tc>
      </w:tr>
      <w:tr w:rsidR="006007FA" w:rsidRPr="00C7792D" w14:paraId="5F8BD0B5" w14:textId="77777777" w:rsidTr="0074030C">
        <w:tc>
          <w:tcPr>
            <w:tcW w:w="9214" w:type="dxa"/>
            <w:shd w:val="clear" w:color="auto" w:fill="auto"/>
            <w:vAlign w:val="center"/>
          </w:tcPr>
          <w:p w14:paraId="62761E43" w14:textId="77777777" w:rsidR="0074030C" w:rsidRPr="00C7792D" w:rsidRDefault="0074030C" w:rsidP="00E017CA">
            <w:pPr>
              <w:rPr>
                <w:rFonts w:asciiTheme="minorHAnsi" w:hAnsiTheme="minorHAnsi" w:cstheme="minorHAnsi"/>
                <w:sz w:val="22"/>
                <w:szCs w:val="22"/>
                <w:lang w:val="en-US"/>
              </w:rPr>
            </w:pPr>
          </w:p>
          <w:p w14:paraId="6873CDD9" w14:textId="77777777" w:rsidR="004F07FB" w:rsidRPr="00C7792D" w:rsidRDefault="004F07FB" w:rsidP="003C087F">
            <w:pPr>
              <w:pStyle w:val="Default"/>
              <w:jc w:val="both"/>
              <w:rPr>
                <w:rFonts w:asciiTheme="minorHAnsi" w:hAnsiTheme="minorHAnsi" w:cstheme="minorHAnsi"/>
                <w:color w:val="auto"/>
                <w:sz w:val="22"/>
                <w:szCs w:val="22"/>
              </w:rPr>
            </w:pPr>
            <w:r w:rsidRPr="00C7792D">
              <w:rPr>
                <w:rFonts w:asciiTheme="minorHAnsi" w:hAnsiTheme="minorHAnsi" w:cstheme="minorHAnsi"/>
                <w:color w:val="auto"/>
                <w:sz w:val="22"/>
                <w:szCs w:val="22"/>
              </w:rPr>
              <w:t>‘</w:t>
            </w:r>
            <w:r w:rsidR="009D4E88" w:rsidRPr="00C7792D">
              <w:rPr>
                <w:rFonts w:asciiTheme="minorHAnsi" w:hAnsiTheme="minorHAnsi" w:cstheme="minorHAnsi"/>
                <w:color w:val="auto"/>
                <w:sz w:val="22"/>
                <w:szCs w:val="22"/>
              </w:rPr>
              <w:t xml:space="preserve">The 16 </w:t>
            </w:r>
            <w:r w:rsidRPr="00C7792D">
              <w:rPr>
                <w:rFonts w:asciiTheme="minorHAnsi" w:hAnsiTheme="minorHAnsi" w:cstheme="minorHAnsi"/>
                <w:color w:val="auto"/>
                <w:sz w:val="22"/>
                <w:szCs w:val="22"/>
              </w:rPr>
              <w:t>- 19 B</w:t>
            </w:r>
            <w:r w:rsidR="009D4E88" w:rsidRPr="00C7792D">
              <w:rPr>
                <w:rFonts w:asciiTheme="minorHAnsi" w:hAnsiTheme="minorHAnsi" w:cstheme="minorHAnsi"/>
                <w:color w:val="auto"/>
                <w:sz w:val="22"/>
                <w:szCs w:val="22"/>
              </w:rPr>
              <w:t xml:space="preserve">ursary </w:t>
            </w:r>
            <w:r w:rsidRPr="00C7792D">
              <w:rPr>
                <w:rFonts w:asciiTheme="minorHAnsi" w:hAnsiTheme="minorHAnsi" w:cstheme="minorHAnsi"/>
                <w:color w:val="auto"/>
                <w:sz w:val="22"/>
                <w:szCs w:val="22"/>
              </w:rPr>
              <w:t>Fund</w:t>
            </w:r>
            <w:r w:rsidR="009D4E88" w:rsidRPr="00C7792D">
              <w:rPr>
                <w:rFonts w:asciiTheme="minorHAnsi" w:hAnsiTheme="minorHAnsi" w:cstheme="minorHAnsi"/>
                <w:color w:val="auto"/>
                <w:sz w:val="22"/>
                <w:szCs w:val="22"/>
              </w:rPr>
              <w:t xml:space="preserve"> is to provide </w:t>
            </w:r>
            <w:r w:rsidRPr="00C7792D">
              <w:rPr>
                <w:rFonts w:asciiTheme="minorHAnsi" w:hAnsiTheme="minorHAnsi" w:cstheme="minorHAnsi"/>
                <w:b/>
                <w:color w:val="auto"/>
                <w:sz w:val="22"/>
                <w:szCs w:val="22"/>
              </w:rPr>
              <w:t xml:space="preserve">financial </w:t>
            </w:r>
            <w:r w:rsidR="009D4E88" w:rsidRPr="00C7792D">
              <w:rPr>
                <w:rFonts w:asciiTheme="minorHAnsi" w:hAnsiTheme="minorHAnsi" w:cstheme="minorHAnsi"/>
                <w:b/>
                <w:color w:val="auto"/>
                <w:sz w:val="22"/>
                <w:szCs w:val="22"/>
              </w:rPr>
              <w:t>support</w:t>
            </w:r>
            <w:r w:rsidR="009D4E88" w:rsidRPr="00C7792D">
              <w:rPr>
                <w:rFonts w:asciiTheme="minorHAnsi" w:hAnsiTheme="minorHAnsi" w:cstheme="minorHAnsi"/>
                <w:color w:val="auto"/>
                <w:sz w:val="22"/>
                <w:szCs w:val="22"/>
              </w:rPr>
              <w:t xml:space="preserve"> to </w:t>
            </w:r>
            <w:r w:rsidRPr="00C7792D">
              <w:rPr>
                <w:rFonts w:asciiTheme="minorHAnsi" w:hAnsiTheme="minorHAnsi" w:cstheme="minorHAnsi"/>
                <w:color w:val="auto"/>
                <w:sz w:val="22"/>
                <w:szCs w:val="22"/>
              </w:rPr>
              <w:t xml:space="preserve">help students overcome the </w:t>
            </w:r>
            <w:r w:rsidRPr="00C7792D">
              <w:rPr>
                <w:rFonts w:asciiTheme="minorHAnsi" w:hAnsiTheme="minorHAnsi" w:cstheme="minorHAnsi"/>
                <w:b/>
                <w:color w:val="auto"/>
                <w:sz w:val="22"/>
                <w:szCs w:val="22"/>
              </w:rPr>
              <w:t>specific financial barriers to participation</w:t>
            </w:r>
            <w:r w:rsidRPr="00C7792D">
              <w:rPr>
                <w:rFonts w:asciiTheme="minorHAnsi" w:hAnsiTheme="minorHAnsi" w:cstheme="minorHAnsi"/>
                <w:color w:val="auto"/>
                <w:sz w:val="22"/>
                <w:szCs w:val="22"/>
              </w:rPr>
              <w:t xml:space="preserve"> they face so that they can remain in education.’</w:t>
            </w:r>
            <w:r w:rsidRPr="00C7792D">
              <w:rPr>
                <w:rStyle w:val="FootnoteReference"/>
                <w:rFonts w:asciiTheme="minorHAnsi" w:hAnsiTheme="minorHAnsi" w:cstheme="minorHAnsi"/>
                <w:color w:val="auto"/>
                <w:sz w:val="22"/>
                <w:szCs w:val="22"/>
              </w:rPr>
              <w:footnoteReference w:id="1"/>
            </w:r>
          </w:p>
          <w:p w14:paraId="3DACF20C" w14:textId="77777777" w:rsidR="006007FA" w:rsidRPr="009A459A" w:rsidRDefault="009D4E88" w:rsidP="003C087F">
            <w:pPr>
              <w:pStyle w:val="Default"/>
              <w:jc w:val="both"/>
              <w:rPr>
                <w:rFonts w:asciiTheme="minorHAnsi" w:hAnsiTheme="minorHAnsi" w:cstheme="minorHAnsi"/>
                <w:sz w:val="22"/>
                <w:szCs w:val="22"/>
              </w:rPr>
            </w:pPr>
            <w:r w:rsidRPr="00C7792D">
              <w:rPr>
                <w:rFonts w:asciiTheme="minorHAnsi" w:hAnsiTheme="minorHAnsi" w:cstheme="minorHAnsi"/>
                <w:sz w:val="22"/>
                <w:szCs w:val="22"/>
              </w:rPr>
              <w:t>The full document can be viewed and/or downloaded from</w:t>
            </w:r>
            <w:r w:rsidR="004F07FB" w:rsidRPr="00C7792D">
              <w:rPr>
                <w:rFonts w:asciiTheme="minorHAnsi" w:hAnsiTheme="minorHAnsi" w:cstheme="minorHAnsi"/>
                <w:sz w:val="22"/>
                <w:szCs w:val="22"/>
              </w:rPr>
              <w:t>;</w:t>
            </w:r>
          </w:p>
          <w:p w14:paraId="2ECE85A3" w14:textId="77777777" w:rsidR="009D4E88" w:rsidRDefault="001873A0" w:rsidP="003C087F">
            <w:pPr>
              <w:jc w:val="both"/>
              <w:rPr>
                <w:rStyle w:val="Hyperlink"/>
                <w:rFonts w:asciiTheme="minorHAnsi" w:eastAsia="Arial Unicode MS" w:hAnsiTheme="minorHAnsi" w:cstheme="minorHAnsi"/>
                <w:b/>
                <w:sz w:val="22"/>
                <w:szCs w:val="22"/>
              </w:rPr>
            </w:pPr>
            <w:hyperlink r:id="rId12" w:history="1">
              <w:r w:rsidR="009D4E88" w:rsidRPr="00C7792D">
                <w:rPr>
                  <w:rStyle w:val="Hyperlink"/>
                  <w:rFonts w:asciiTheme="minorHAnsi" w:eastAsia="Arial Unicode MS" w:hAnsiTheme="minorHAnsi" w:cstheme="minorHAnsi"/>
                  <w:b/>
                  <w:sz w:val="22"/>
                  <w:szCs w:val="22"/>
                </w:rPr>
                <w:t>16-19 Bursary</w:t>
              </w:r>
            </w:hyperlink>
          </w:p>
          <w:p w14:paraId="43E9786F" w14:textId="77777777" w:rsidR="008A67BD" w:rsidRPr="00C7792D" w:rsidRDefault="001873A0" w:rsidP="003C087F">
            <w:pPr>
              <w:jc w:val="both"/>
              <w:rPr>
                <w:rFonts w:asciiTheme="minorHAnsi" w:eastAsia="Arial Unicode MS" w:hAnsiTheme="minorHAnsi" w:cstheme="minorHAnsi"/>
                <w:b/>
                <w:color w:val="000000" w:themeColor="text1"/>
                <w:sz w:val="22"/>
                <w:szCs w:val="22"/>
              </w:rPr>
            </w:pPr>
            <w:hyperlink r:id="rId13" w:history="1">
              <w:r w:rsidR="008A67BD" w:rsidRPr="008A67BD">
                <w:rPr>
                  <w:rStyle w:val="Hyperlink"/>
                  <w:rFonts w:asciiTheme="minorHAnsi" w:eastAsia="Arial Unicode MS" w:hAnsiTheme="minorHAnsi" w:cstheme="minorHAnsi"/>
                  <w:b/>
                  <w:sz w:val="22"/>
                  <w:szCs w:val="22"/>
                </w:rPr>
                <w:t>Free meals in Further Education</w:t>
              </w:r>
            </w:hyperlink>
          </w:p>
          <w:p w14:paraId="6EBE1955" w14:textId="77777777" w:rsidR="009D4E88" w:rsidRPr="00C7792D" w:rsidRDefault="009D4E88" w:rsidP="003C087F">
            <w:pPr>
              <w:jc w:val="both"/>
              <w:rPr>
                <w:rFonts w:asciiTheme="minorHAnsi" w:eastAsia="Arial Unicode MS" w:hAnsiTheme="minorHAnsi" w:cstheme="minorHAnsi"/>
                <w:b/>
                <w:color w:val="000000" w:themeColor="text1"/>
                <w:sz w:val="22"/>
                <w:szCs w:val="22"/>
              </w:rPr>
            </w:pPr>
          </w:p>
          <w:p w14:paraId="0DDEB802" w14:textId="77777777" w:rsidR="00D9154F" w:rsidRDefault="009F307F" w:rsidP="003C087F">
            <w:pPr>
              <w:pStyle w:val="Default"/>
              <w:tabs>
                <w:tab w:val="left" w:pos="360"/>
              </w:tabs>
              <w:jc w:val="both"/>
              <w:rPr>
                <w:rFonts w:asciiTheme="minorHAnsi" w:hAnsiTheme="minorHAnsi" w:cstheme="minorHAnsi"/>
                <w:bCs/>
                <w:sz w:val="22"/>
                <w:szCs w:val="22"/>
              </w:rPr>
            </w:pPr>
            <w:r w:rsidRPr="00C7792D">
              <w:rPr>
                <w:rFonts w:asciiTheme="minorHAnsi" w:hAnsiTheme="minorHAnsi" w:cstheme="minorHAnsi"/>
                <w:bCs/>
                <w:sz w:val="22"/>
                <w:szCs w:val="22"/>
              </w:rPr>
              <w:t xml:space="preserve">The policy </w:t>
            </w:r>
            <w:r w:rsidR="00D9154F" w:rsidRPr="00C7792D">
              <w:rPr>
                <w:rFonts w:asciiTheme="minorHAnsi" w:hAnsiTheme="minorHAnsi" w:cstheme="minorHAnsi"/>
                <w:bCs/>
                <w:sz w:val="22"/>
                <w:szCs w:val="22"/>
              </w:rPr>
              <w:t>will</w:t>
            </w:r>
            <w:r w:rsidRPr="00C7792D">
              <w:rPr>
                <w:rFonts w:asciiTheme="minorHAnsi" w:hAnsiTheme="minorHAnsi" w:cstheme="minorHAnsi"/>
                <w:bCs/>
                <w:sz w:val="22"/>
                <w:szCs w:val="22"/>
              </w:rPr>
              <w:t xml:space="preserve"> provide </w:t>
            </w:r>
            <w:r w:rsidR="00D9154F" w:rsidRPr="00C7792D">
              <w:rPr>
                <w:rFonts w:asciiTheme="minorHAnsi" w:hAnsiTheme="minorHAnsi" w:cstheme="minorHAnsi"/>
                <w:bCs/>
                <w:sz w:val="22"/>
                <w:szCs w:val="22"/>
              </w:rPr>
              <w:t xml:space="preserve">clear, accessible and </w:t>
            </w:r>
            <w:r w:rsidRPr="00C7792D">
              <w:rPr>
                <w:rFonts w:asciiTheme="minorHAnsi" w:hAnsiTheme="minorHAnsi" w:cstheme="minorHAnsi"/>
                <w:bCs/>
                <w:sz w:val="22"/>
                <w:szCs w:val="22"/>
              </w:rPr>
              <w:t>transparent information to students, parents and staff about how the Bursary Fund</w:t>
            </w:r>
            <w:r w:rsidR="008A67BD">
              <w:rPr>
                <w:rFonts w:asciiTheme="minorHAnsi" w:hAnsiTheme="minorHAnsi" w:cstheme="minorHAnsi"/>
                <w:bCs/>
                <w:sz w:val="22"/>
                <w:szCs w:val="22"/>
              </w:rPr>
              <w:t xml:space="preserve"> and Free School Meals</w:t>
            </w:r>
            <w:r w:rsidRPr="00C7792D">
              <w:rPr>
                <w:rFonts w:asciiTheme="minorHAnsi" w:hAnsiTheme="minorHAnsi" w:cstheme="minorHAnsi"/>
                <w:bCs/>
                <w:sz w:val="22"/>
                <w:szCs w:val="22"/>
              </w:rPr>
              <w:t xml:space="preserve"> will be administered.  </w:t>
            </w:r>
            <w:r w:rsidR="00D9154F" w:rsidRPr="00C7792D">
              <w:rPr>
                <w:rFonts w:asciiTheme="minorHAnsi" w:hAnsiTheme="minorHAnsi" w:cstheme="minorHAnsi"/>
                <w:bCs/>
                <w:sz w:val="22"/>
                <w:szCs w:val="22"/>
              </w:rPr>
              <w:t>Including, how the funds will be used, eligibility criteria and the procedures used.  Therefore the policy will be published on the Academy website.</w:t>
            </w:r>
          </w:p>
          <w:p w14:paraId="3445EE62" w14:textId="77777777" w:rsidR="00E017CA" w:rsidRPr="00C7792D" w:rsidRDefault="00E017CA" w:rsidP="003C087F">
            <w:pPr>
              <w:pStyle w:val="Default"/>
              <w:tabs>
                <w:tab w:val="left" w:pos="360"/>
              </w:tabs>
              <w:jc w:val="both"/>
              <w:rPr>
                <w:rFonts w:asciiTheme="minorHAnsi" w:hAnsiTheme="minorHAnsi" w:cstheme="minorHAnsi"/>
                <w:bCs/>
                <w:sz w:val="22"/>
                <w:szCs w:val="22"/>
              </w:rPr>
            </w:pPr>
          </w:p>
          <w:p w14:paraId="79D6EE47" w14:textId="77777777" w:rsidR="009D4E88" w:rsidRDefault="009F307F" w:rsidP="003C087F">
            <w:pPr>
              <w:pStyle w:val="Default"/>
              <w:tabs>
                <w:tab w:val="left" w:pos="360"/>
              </w:tabs>
              <w:jc w:val="both"/>
              <w:rPr>
                <w:rFonts w:asciiTheme="minorHAnsi" w:hAnsiTheme="minorHAnsi" w:cstheme="minorHAnsi"/>
                <w:bCs/>
                <w:sz w:val="22"/>
                <w:szCs w:val="22"/>
              </w:rPr>
            </w:pPr>
            <w:r w:rsidRPr="00C7792D">
              <w:rPr>
                <w:rFonts w:asciiTheme="minorHAnsi" w:hAnsiTheme="minorHAnsi" w:cstheme="minorHAnsi"/>
                <w:bCs/>
                <w:sz w:val="22"/>
                <w:szCs w:val="22"/>
              </w:rPr>
              <w:t xml:space="preserve">Success in achieving the aims of the fund can therefore be measured by participation rates, </w:t>
            </w:r>
            <w:r w:rsidR="00BD128F" w:rsidRPr="00C7792D">
              <w:rPr>
                <w:rFonts w:asciiTheme="minorHAnsi" w:hAnsiTheme="minorHAnsi" w:cstheme="minorHAnsi"/>
                <w:bCs/>
                <w:sz w:val="22"/>
                <w:szCs w:val="22"/>
              </w:rPr>
              <w:t xml:space="preserve">specifically </w:t>
            </w:r>
            <w:r w:rsidRPr="00C7792D">
              <w:rPr>
                <w:rFonts w:asciiTheme="minorHAnsi" w:hAnsiTheme="minorHAnsi" w:cstheme="minorHAnsi"/>
                <w:bCs/>
                <w:sz w:val="22"/>
                <w:szCs w:val="22"/>
              </w:rPr>
              <w:t>enrolment and retention rates, and at a subsidiary level by tracking achievement</w:t>
            </w:r>
            <w:r w:rsidR="00D9154F" w:rsidRPr="00C7792D">
              <w:rPr>
                <w:rFonts w:asciiTheme="minorHAnsi" w:hAnsiTheme="minorHAnsi" w:cstheme="minorHAnsi"/>
                <w:bCs/>
                <w:sz w:val="22"/>
                <w:szCs w:val="22"/>
              </w:rPr>
              <w:t>, although that is not an aim of the fund</w:t>
            </w:r>
            <w:r w:rsidRPr="00C7792D">
              <w:rPr>
                <w:rFonts w:asciiTheme="minorHAnsi" w:hAnsiTheme="minorHAnsi" w:cstheme="minorHAnsi"/>
                <w:bCs/>
                <w:sz w:val="22"/>
                <w:szCs w:val="22"/>
              </w:rPr>
              <w:t>.</w:t>
            </w:r>
            <w:r w:rsidR="00221CEF" w:rsidRPr="00C7792D">
              <w:rPr>
                <w:rFonts w:asciiTheme="minorHAnsi" w:hAnsiTheme="minorHAnsi" w:cstheme="minorHAnsi"/>
                <w:bCs/>
                <w:sz w:val="22"/>
                <w:szCs w:val="22"/>
              </w:rPr>
              <w:t xml:space="preserve">  </w:t>
            </w:r>
          </w:p>
          <w:p w14:paraId="45802157" w14:textId="77777777" w:rsidR="00E017CA" w:rsidRPr="00C7792D" w:rsidRDefault="00E017CA" w:rsidP="00E017CA">
            <w:pPr>
              <w:pStyle w:val="Default"/>
              <w:tabs>
                <w:tab w:val="left" w:pos="360"/>
              </w:tabs>
              <w:rPr>
                <w:rFonts w:asciiTheme="minorHAnsi" w:hAnsiTheme="minorHAnsi" w:cstheme="minorHAnsi"/>
                <w:bCs/>
                <w:sz w:val="22"/>
                <w:szCs w:val="22"/>
              </w:rPr>
            </w:pPr>
          </w:p>
        </w:tc>
      </w:tr>
      <w:tr w:rsidR="0074030C" w:rsidRPr="00C7792D" w14:paraId="58A71357" w14:textId="77777777" w:rsidTr="00221CEF">
        <w:trPr>
          <w:trHeight w:val="299"/>
        </w:trPr>
        <w:tc>
          <w:tcPr>
            <w:tcW w:w="9214" w:type="dxa"/>
            <w:shd w:val="clear" w:color="auto" w:fill="9CC2E5"/>
            <w:tcMar>
              <w:left w:w="57" w:type="dxa"/>
            </w:tcMar>
            <w:vAlign w:val="center"/>
          </w:tcPr>
          <w:p w14:paraId="11D2A23F"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Scope</w:t>
            </w:r>
          </w:p>
        </w:tc>
      </w:tr>
      <w:tr w:rsidR="0074030C" w:rsidRPr="00C7792D" w14:paraId="63D09A93" w14:textId="77777777" w:rsidTr="00F96BF5">
        <w:tc>
          <w:tcPr>
            <w:tcW w:w="9214" w:type="dxa"/>
            <w:shd w:val="clear" w:color="auto" w:fill="auto"/>
            <w:vAlign w:val="center"/>
          </w:tcPr>
          <w:p w14:paraId="1C9DE340" w14:textId="77777777" w:rsidR="0074030C" w:rsidRPr="00C7792D" w:rsidRDefault="0074030C" w:rsidP="003C087F">
            <w:pPr>
              <w:jc w:val="both"/>
              <w:rPr>
                <w:rFonts w:asciiTheme="minorHAnsi" w:hAnsiTheme="minorHAnsi" w:cstheme="minorHAnsi"/>
                <w:sz w:val="22"/>
                <w:szCs w:val="22"/>
                <w:lang w:val="en-US"/>
              </w:rPr>
            </w:pPr>
          </w:p>
          <w:p w14:paraId="7023BE47" w14:textId="77777777" w:rsidR="0074030C" w:rsidRPr="00C7792D" w:rsidRDefault="009D4E88" w:rsidP="003C087F">
            <w:pPr>
              <w:jc w:val="both"/>
              <w:rPr>
                <w:rFonts w:asciiTheme="minorHAnsi" w:hAnsiTheme="minorHAnsi" w:cstheme="minorHAnsi"/>
                <w:sz w:val="22"/>
                <w:szCs w:val="22"/>
                <w:lang w:val="en-US"/>
              </w:rPr>
            </w:pPr>
            <w:r w:rsidRPr="00C7792D">
              <w:rPr>
                <w:rFonts w:asciiTheme="minorHAnsi" w:hAnsiTheme="minorHAnsi" w:cstheme="minorHAnsi"/>
                <w:sz w:val="22"/>
                <w:szCs w:val="22"/>
                <w:lang w:val="en-US"/>
              </w:rPr>
              <w:t>The City of Stoke on Trent Sixth Form College.</w:t>
            </w:r>
          </w:p>
          <w:p w14:paraId="26479431" w14:textId="77777777" w:rsidR="00BD128F" w:rsidRPr="00C7792D" w:rsidRDefault="00BD128F" w:rsidP="003C087F">
            <w:pPr>
              <w:jc w:val="both"/>
              <w:rPr>
                <w:rFonts w:asciiTheme="minorHAnsi" w:hAnsiTheme="minorHAnsi" w:cstheme="minorHAnsi"/>
                <w:sz w:val="22"/>
                <w:szCs w:val="22"/>
                <w:lang w:val="en-US"/>
              </w:rPr>
            </w:pPr>
          </w:p>
          <w:p w14:paraId="230CF2F2" w14:textId="77777777" w:rsidR="00BD128F" w:rsidRPr="00C7792D" w:rsidRDefault="00BD128F" w:rsidP="003C087F">
            <w:pPr>
              <w:jc w:val="both"/>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color w:val="000000" w:themeColor="text1"/>
                <w:sz w:val="22"/>
                <w:szCs w:val="22"/>
              </w:rPr>
              <w:t xml:space="preserve">Academies must assess the needs of individual learners and not make flat rate payments because the fund is designed to help students overcome individual financial barriers. </w:t>
            </w:r>
            <w:r w:rsidRPr="00C7792D">
              <w:rPr>
                <w:rFonts w:asciiTheme="minorHAnsi" w:eastAsia="Arial Unicode MS" w:hAnsiTheme="minorHAnsi" w:cstheme="minorHAnsi"/>
                <w:b/>
                <w:color w:val="000000" w:themeColor="text1"/>
                <w:sz w:val="22"/>
                <w:szCs w:val="22"/>
              </w:rPr>
              <w:t>‘No student should automatically be awarded a set amount of funding without an assessment of the level of need they have’.</w:t>
            </w:r>
            <w:r w:rsidRPr="00C7792D">
              <w:rPr>
                <w:rStyle w:val="FootnoteReference"/>
                <w:rFonts w:asciiTheme="minorHAnsi" w:eastAsia="Arial Unicode MS" w:hAnsiTheme="minorHAnsi" w:cstheme="minorHAnsi"/>
                <w:b/>
                <w:color w:val="000000" w:themeColor="text1"/>
                <w:sz w:val="22"/>
                <w:szCs w:val="22"/>
              </w:rPr>
              <w:footnoteReference w:id="2"/>
            </w:r>
            <w:r w:rsidR="009062DE" w:rsidRPr="00C7792D">
              <w:rPr>
                <w:rFonts w:asciiTheme="minorHAnsi" w:eastAsia="Arial Unicode MS" w:hAnsiTheme="minorHAnsi" w:cstheme="minorHAnsi"/>
                <w:b/>
                <w:color w:val="000000" w:themeColor="text1"/>
                <w:sz w:val="22"/>
                <w:szCs w:val="22"/>
              </w:rPr>
              <w:t xml:space="preserve">  </w:t>
            </w:r>
          </w:p>
          <w:p w14:paraId="42D0EAE8" w14:textId="77777777" w:rsidR="00041F90" w:rsidRPr="00C7792D" w:rsidRDefault="00041F90" w:rsidP="003C087F">
            <w:pPr>
              <w:jc w:val="both"/>
              <w:rPr>
                <w:rFonts w:asciiTheme="minorHAnsi" w:eastAsia="Arial Unicode MS" w:hAnsiTheme="minorHAnsi" w:cstheme="minorHAnsi"/>
                <w:color w:val="000000" w:themeColor="text1"/>
                <w:sz w:val="22"/>
                <w:szCs w:val="22"/>
              </w:rPr>
            </w:pPr>
          </w:p>
        </w:tc>
      </w:tr>
    </w:tbl>
    <w:p w14:paraId="54C6E081" w14:textId="77777777" w:rsidR="00041F90" w:rsidRPr="003C087F" w:rsidRDefault="00D9154F" w:rsidP="003C087F">
      <w:pPr>
        <w:jc w:val="both"/>
        <w:rPr>
          <w:rFonts w:asciiTheme="minorHAnsi" w:eastAsia="Arial Unicode MS" w:hAnsiTheme="minorHAnsi" w:cstheme="minorHAnsi"/>
          <w:color w:val="000000" w:themeColor="text1"/>
          <w:sz w:val="22"/>
          <w:szCs w:val="22"/>
        </w:rPr>
      </w:pPr>
      <w:r w:rsidRPr="00C7792D">
        <w:rPr>
          <w:rFonts w:asciiTheme="minorHAnsi" w:eastAsia="Arial Unicode MS" w:hAnsiTheme="minorHAnsi" w:cstheme="minorHAnsi"/>
          <w:color w:val="000000" w:themeColor="text1"/>
          <w:sz w:val="22"/>
          <w:szCs w:val="22"/>
        </w:rPr>
        <w:t xml:space="preserve">The ‘fund is intended to help students with the essential costs of participating in their study programme … is </w:t>
      </w:r>
      <w:r w:rsidRPr="00C7792D">
        <w:rPr>
          <w:rFonts w:asciiTheme="minorHAnsi" w:eastAsia="Arial Unicode MS" w:hAnsiTheme="minorHAnsi" w:cstheme="minorHAnsi"/>
          <w:b/>
          <w:color w:val="000000" w:themeColor="text1"/>
          <w:sz w:val="22"/>
          <w:szCs w:val="22"/>
        </w:rPr>
        <w:t>not intended to support extra-curricular activities or provide learning support</w:t>
      </w:r>
      <w:r w:rsidRPr="00C7792D">
        <w:rPr>
          <w:rFonts w:asciiTheme="minorHAnsi" w:eastAsia="Arial Unicode MS" w:hAnsiTheme="minorHAnsi" w:cstheme="minorHAnsi"/>
          <w:color w:val="000000" w:themeColor="text1"/>
          <w:sz w:val="22"/>
          <w:szCs w:val="22"/>
        </w:rPr>
        <w:t xml:space="preserve"> – services that institutions give to students – such as counselling, mentoring or extra tutoring’.</w:t>
      </w:r>
      <w:r w:rsidRPr="00C7792D">
        <w:rPr>
          <w:rStyle w:val="FootnoteReference"/>
          <w:rFonts w:asciiTheme="minorHAnsi" w:eastAsia="Arial Unicode MS" w:hAnsiTheme="minorHAnsi" w:cstheme="minorHAnsi"/>
          <w:color w:val="000000" w:themeColor="text1"/>
          <w:sz w:val="22"/>
          <w:szCs w:val="22"/>
        </w:rPr>
        <w:footnoteReference w:id="3"/>
      </w:r>
      <w:r w:rsidR="00CA76EB" w:rsidRPr="00C7792D">
        <w:rPr>
          <w:rFonts w:asciiTheme="minorHAnsi" w:eastAsia="Arial Unicode MS" w:hAnsiTheme="minorHAnsi" w:cstheme="minorHAnsi"/>
          <w:color w:val="000000" w:themeColor="text1"/>
          <w:sz w:val="22"/>
          <w:szCs w:val="22"/>
        </w:rPr>
        <w:t xml:space="preserve">  It is not intended to cover living costs.</w:t>
      </w:r>
    </w:p>
    <w:p w14:paraId="6C9F8C4D" w14:textId="77777777" w:rsidR="00811EB3" w:rsidRPr="00C7792D" w:rsidRDefault="00811EB3" w:rsidP="003C087F">
      <w:pPr>
        <w:jc w:val="both"/>
        <w:rPr>
          <w:rFonts w:asciiTheme="minorHAnsi" w:hAnsiTheme="minorHAnsi" w:cstheme="minorHAnsi"/>
          <w:sz w:val="22"/>
          <w:szCs w:val="22"/>
          <w:u w:val="single"/>
          <w:lang w:val="en-US"/>
        </w:rPr>
      </w:pPr>
      <w:r w:rsidRPr="00C7792D">
        <w:rPr>
          <w:rFonts w:asciiTheme="minorHAnsi" w:hAnsiTheme="minorHAnsi" w:cstheme="minorHAnsi"/>
          <w:sz w:val="22"/>
          <w:szCs w:val="22"/>
          <w:u w:val="single"/>
          <w:lang w:val="en-US"/>
        </w:rPr>
        <w:lastRenderedPageBreak/>
        <w:t>Eligibility</w:t>
      </w:r>
    </w:p>
    <w:p w14:paraId="3FD66534" w14:textId="77777777" w:rsidR="00041F90" w:rsidRPr="00C7792D" w:rsidRDefault="00041F90" w:rsidP="003C087F">
      <w:pPr>
        <w:pStyle w:val="ListParagraph"/>
        <w:numPr>
          <w:ilvl w:val="0"/>
          <w:numId w:val="11"/>
        </w:numPr>
        <w:spacing w:after="0" w:line="240" w:lineRule="auto"/>
        <w:jc w:val="both"/>
        <w:rPr>
          <w:rFonts w:cstheme="minorHAnsi"/>
          <w:lang w:val="en-US"/>
        </w:rPr>
      </w:pPr>
      <w:r w:rsidRPr="00C7792D">
        <w:rPr>
          <w:rFonts w:cstheme="minorHAnsi"/>
          <w:lang w:val="en-US"/>
        </w:rPr>
        <w:t>ESFA funded students aged 16-19</w:t>
      </w:r>
      <w:r w:rsidR="00811EB3" w:rsidRPr="00C7792D">
        <w:rPr>
          <w:rFonts w:cstheme="minorHAnsi"/>
          <w:lang w:val="en-US"/>
        </w:rPr>
        <w:t xml:space="preserve"> who meet the residency criteria for ESFA funding.</w:t>
      </w:r>
    </w:p>
    <w:p w14:paraId="1EF53FDA" w14:textId="77777777" w:rsidR="00811EB3" w:rsidRPr="00C7792D" w:rsidRDefault="00811EB3" w:rsidP="003C087F">
      <w:pPr>
        <w:pStyle w:val="ListParagraph"/>
        <w:numPr>
          <w:ilvl w:val="1"/>
          <w:numId w:val="11"/>
        </w:numPr>
        <w:spacing w:after="0" w:line="240" w:lineRule="auto"/>
        <w:jc w:val="both"/>
        <w:rPr>
          <w:rFonts w:cstheme="minorHAnsi"/>
          <w:lang w:val="en-US"/>
        </w:rPr>
      </w:pPr>
      <w:r w:rsidRPr="00C7792D">
        <w:rPr>
          <w:rFonts w:cstheme="minorHAnsi"/>
          <w:lang w:val="en-US"/>
        </w:rPr>
        <w:t>Accompanied asylum seekers are eligible for education but not public funds.  They may apply to the Home Office for support if they are destitute.</w:t>
      </w:r>
      <w:r w:rsidRPr="00C7792D">
        <w:rPr>
          <w:rStyle w:val="FootnoteReference"/>
          <w:rFonts w:cstheme="minorHAnsi"/>
          <w:lang w:val="en-US"/>
        </w:rPr>
        <w:footnoteReference w:id="4"/>
      </w:r>
    </w:p>
    <w:p w14:paraId="419F5E5E" w14:textId="77777777" w:rsidR="00811EB3" w:rsidRPr="00C7792D" w:rsidRDefault="00811EB3" w:rsidP="003C087F">
      <w:pPr>
        <w:pStyle w:val="ListParagraph"/>
        <w:numPr>
          <w:ilvl w:val="1"/>
          <w:numId w:val="11"/>
        </w:numPr>
        <w:spacing w:after="0" w:line="240" w:lineRule="auto"/>
        <w:jc w:val="both"/>
        <w:rPr>
          <w:rFonts w:cstheme="minorHAnsi"/>
          <w:lang w:val="en-US"/>
        </w:rPr>
      </w:pPr>
      <w:r w:rsidRPr="00C7792D">
        <w:rPr>
          <w:rFonts w:cstheme="minorHAnsi"/>
          <w:lang w:val="en-US"/>
        </w:rPr>
        <w:t>Unaccompanied asylum seekers are treated as looked after children and are eligible for the vulnerable bursary.</w:t>
      </w:r>
    </w:p>
    <w:p w14:paraId="19F423A1" w14:textId="77777777" w:rsidR="00041F90" w:rsidRPr="00C7792D" w:rsidRDefault="00041F90" w:rsidP="003C087F">
      <w:pPr>
        <w:pStyle w:val="ListParagraph"/>
        <w:numPr>
          <w:ilvl w:val="0"/>
          <w:numId w:val="11"/>
        </w:numPr>
        <w:spacing w:after="0" w:line="240" w:lineRule="auto"/>
        <w:jc w:val="both"/>
        <w:rPr>
          <w:rFonts w:cstheme="minorHAnsi"/>
          <w:lang w:val="en-US"/>
        </w:rPr>
      </w:pPr>
      <w:r w:rsidRPr="00C7792D">
        <w:rPr>
          <w:rFonts w:cstheme="minorHAnsi"/>
          <w:lang w:val="en-US"/>
        </w:rPr>
        <w:t xml:space="preserve">19+ continuing students who have previously been eligible as point 1, are in scope for the Discretionary Bursary only. </w:t>
      </w:r>
    </w:p>
    <w:p w14:paraId="4607850B" w14:textId="77777777" w:rsidR="00D9154F" w:rsidRDefault="00041F90" w:rsidP="003C087F">
      <w:pPr>
        <w:pStyle w:val="ListParagraph"/>
        <w:numPr>
          <w:ilvl w:val="0"/>
          <w:numId w:val="11"/>
        </w:numPr>
        <w:spacing w:after="0" w:line="240" w:lineRule="auto"/>
        <w:jc w:val="both"/>
        <w:rPr>
          <w:rFonts w:cstheme="minorHAnsi"/>
          <w:lang w:val="en-US"/>
        </w:rPr>
      </w:pPr>
      <w:r w:rsidRPr="00C7792D">
        <w:rPr>
          <w:rFonts w:cstheme="minorHAnsi"/>
          <w:lang w:val="en-US"/>
        </w:rPr>
        <w:t xml:space="preserve">19+ students who hold an EHCP and are eligible as point 1, are in scope for the Discretionary Bursary only. </w:t>
      </w:r>
    </w:p>
    <w:p w14:paraId="2987E19F" w14:textId="77777777" w:rsidR="00E017CA" w:rsidRPr="00C7792D" w:rsidRDefault="00E017CA" w:rsidP="00457299">
      <w:pPr>
        <w:pStyle w:val="ListParagraph"/>
        <w:spacing w:after="0" w:line="240" w:lineRule="auto"/>
        <w:ind w:left="360"/>
        <w:rPr>
          <w:rFonts w:cstheme="minorHAnsi"/>
          <w:lang w:val="en-US"/>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31EC2A68" w14:textId="77777777" w:rsidTr="00F96BF5">
        <w:trPr>
          <w:trHeight w:val="299"/>
        </w:trPr>
        <w:tc>
          <w:tcPr>
            <w:tcW w:w="9072" w:type="dxa"/>
            <w:shd w:val="clear" w:color="auto" w:fill="9CC2E5"/>
            <w:tcMar>
              <w:left w:w="57" w:type="dxa"/>
            </w:tcMar>
            <w:vAlign w:val="center"/>
          </w:tcPr>
          <w:p w14:paraId="5CE75672"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Policy</w:t>
            </w:r>
          </w:p>
        </w:tc>
      </w:tr>
      <w:tr w:rsidR="0074030C" w:rsidRPr="000D7131" w14:paraId="2C5284F2" w14:textId="77777777" w:rsidTr="00F96BF5">
        <w:tc>
          <w:tcPr>
            <w:tcW w:w="9214" w:type="dxa"/>
            <w:shd w:val="clear" w:color="auto" w:fill="auto"/>
            <w:vAlign w:val="center"/>
          </w:tcPr>
          <w:p w14:paraId="4C23AD33" w14:textId="77777777" w:rsidR="0074030C" w:rsidRPr="000D7131" w:rsidRDefault="0074030C" w:rsidP="00E017CA">
            <w:pPr>
              <w:rPr>
                <w:rFonts w:asciiTheme="minorHAnsi" w:hAnsiTheme="minorHAnsi" w:cstheme="minorHAnsi"/>
                <w:sz w:val="22"/>
                <w:szCs w:val="22"/>
                <w:lang w:val="en-US"/>
              </w:rPr>
            </w:pPr>
          </w:p>
          <w:p w14:paraId="0FB85A11" w14:textId="77777777" w:rsidR="009062DE" w:rsidRPr="000D7131" w:rsidRDefault="009062DE" w:rsidP="003C087F">
            <w:pPr>
              <w:jc w:val="both"/>
              <w:rPr>
                <w:rFonts w:asciiTheme="minorHAnsi" w:hAnsiTheme="minorHAnsi" w:cstheme="minorHAnsi"/>
                <w:sz w:val="22"/>
                <w:szCs w:val="22"/>
                <w:lang w:val="en-US"/>
              </w:rPr>
            </w:pPr>
            <w:r w:rsidRPr="000D7131">
              <w:rPr>
                <w:rFonts w:asciiTheme="minorHAnsi" w:hAnsiTheme="minorHAnsi" w:cstheme="minorHAnsi"/>
                <w:sz w:val="22"/>
                <w:szCs w:val="22"/>
                <w:lang w:val="en-US"/>
              </w:rPr>
              <w:t>There are two types of 16-19 bursaries;</w:t>
            </w:r>
          </w:p>
          <w:p w14:paraId="2E63FE2A" w14:textId="77777777" w:rsidR="009062DE" w:rsidRPr="000D7131" w:rsidRDefault="009062DE" w:rsidP="003C087F">
            <w:pPr>
              <w:pStyle w:val="ListParagraph"/>
              <w:numPr>
                <w:ilvl w:val="0"/>
                <w:numId w:val="12"/>
              </w:numPr>
              <w:spacing w:after="0" w:line="240" w:lineRule="auto"/>
              <w:jc w:val="both"/>
              <w:rPr>
                <w:rFonts w:cstheme="minorHAnsi"/>
                <w:lang w:val="en-US"/>
              </w:rPr>
            </w:pPr>
            <w:r w:rsidRPr="000D7131">
              <w:rPr>
                <w:rFonts w:cstheme="minorHAnsi"/>
                <w:lang w:val="en-US"/>
              </w:rPr>
              <w:t>Bursaries for defined vulnerable groups</w:t>
            </w:r>
          </w:p>
          <w:p w14:paraId="4D1A6FBE" w14:textId="77777777" w:rsidR="009062DE" w:rsidRPr="000D7131" w:rsidRDefault="009062DE" w:rsidP="003C087F">
            <w:pPr>
              <w:pStyle w:val="ListParagraph"/>
              <w:numPr>
                <w:ilvl w:val="0"/>
                <w:numId w:val="12"/>
              </w:numPr>
              <w:spacing w:after="0" w:line="240" w:lineRule="auto"/>
              <w:jc w:val="both"/>
              <w:rPr>
                <w:rFonts w:cstheme="minorHAnsi"/>
                <w:lang w:val="en-US"/>
              </w:rPr>
            </w:pPr>
            <w:r w:rsidRPr="000D7131">
              <w:rPr>
                <w:rFonts w:cstheme="minorHAnsi"/>
                <w:lang w:val="en-US"/>
              </w:rPr>
              <w:t>Discretionary bursaries awarded by the academy using criteria in line with the funding rules.</w:t>
            </w:r>
          </w:p>
          <w:p w14:paraId="0A3DA7BD" w14:textId="77777777" w:rsidR="00E017CA" w:rsidRPr="000D7131" w:rsidRDefault="00E017CA" w:rsidP="003C087F">
            <w:pPr>
              <w:jc w:val="both"/>
              <w:rPr>
                <w:rFonts w:asciiTheme="minorHAnsi" w:hAnsiTheme="minorHAnsi" w:cstheme="minorHAnsi"/>
                <w:b/>
                <w:sz w:val="22"/>
                <w:szCs w:val="22"/>
                <w:lang w:val="en-US"/>
              </w:rPr>
            </w:pPr>
          </w:p>
          <w:p w14:paraId="7A58BDB8" w14:textId="77777777" w:rsidR="00BD128F" w:rsidRPr="000D7131" w:rsidRDefault="009062DE" w:rsidP="003C087F">
            <w:pPr>
              <w:jc w:val="both"/>
              <w:rPr>
                <w:rFonts w:asciiTheme="minorHAnsi" w:hAnsiTheme="minorHAnsi" w:cstheme="minorHAnsi"/>
                <w:sz w:val="22"/>
                <w:szCs w:val="22"/>
                <w:lang w:val="en-US"/>
              </w:rPr>
            </w:pPr>
            <w:r w:rsidRPr="000D7131">
              <w:rPr>
                <w:rFonts w:asciiTheme="minorHAnsi" w:hAnsiTheme="minorHAnsi" w:cstheme="minorHAnsi"/>
                <w:b/>
                <w:sz w:val="22"/>
                <w:szCs w:val="22"/>
                <w:lang w:val="en-US"/>
              </w:rPr>
              <w:t xml:space="preserve">Defined </w:t>
            </w:r>
            <w:r w:rsidR="00CA41B7" w:rsidRPr="000D7131">
              <w:rPr>
                <w:rFonts w:asciiTheme="minorHAnsi" w:hAnsiTheme="minorHAnsi" w:cstheme="minorHAnsi"/>
                <w:b/>
                <w:sz w:val="22"/>
                <w:szCs w:val="22"/>
                <w:lang w:val="en-US"/>
              </w:rPr>
              <w:t>Vulnerable G</w:t>
            </w:r>
            <w:r w:rsidRPr="000D7131">
              <w:rPr>
                <w:rFonts w:asciiTheme="minorHAnsi" w:hAnsiTheme="minorHAnsi" w:cstheme="minorHAnsi"/>
                <w:b/>
                <w:sz w:val="22"/>
                <w:szCs w:val="22"/>
                <w:lang w:val="en-US"/>
              </w:rPr>
              <w:t>roup bursaries</w:t>
            </w:r>
            <w:r w:rsidRPr="000D7131">
              <w:rPr>
                <w:rFonts w:asciiTheme="minorHAnsi" w:hAnsiTheme="minorHAnsi" w:cstheme="minorHAnsi"/>
                <w:sz w:val="22"/>
                <w:szCs w:val="22"/>
                <w:lang w:val="en-US"/>
              </w:rPr>
              <w:t xml:space="preserve"> </w:t>
            </w:r>
            <w:r w:rsidR="009A459A">
              <w:rPr>
                <w:rFonts w:asciiTheme="minorHAnsi" w:hAnsiTheme="minorHAnsi" w:cstheme="minorHAnsi"/>
                <w:sz w:val="22"/>
                <w:szCs w:val="22"/>
                <w:lang w:val="en-US"/>
              </w:rPr>
              <w:t xml:space="preserve">(in student/parent communications this is referred to as the ‘Supportive Bursary’) </w:t>
            </w:r>
            <w:r w:rsidRPr="000D7131">
              <w:rPr>
                <w:rFonts w:asciiTheme="minorHAnsi" w:hAnsiTheme="minorHAnsi" w:cstheme="minorHAnsi"/>
                <w:sz w:val="22"/>
                <w:szCs w:val="22"/>
                <w:lang w:val="en-US"/>
              </w:rPr>
              <w:t>of up-to £1,200 will be awarded following ‘an assessment of the types of costs’</w:t>
            </w:r>
            <w:r w:rsidR="00B623FE" w:rsidRPr="000D7131">
              <w:rPr>
                <w:rStyle w:val="FootnoteReference"/>
                <w:rFonts w:asciiTheme="minorHAnsi" w:hAnsiTheme="minorHAnsi" w:cstheme="minorHAnsi"/>
                <w:sz w:val="22"/>
                <w:szCs w:val="22"/>
                <w:lang w:val="en-US"/>
              </w:rPr>
              <w:footnoteReference w:id="5"/>
            </w:r>
            <w:r w:rsidRPr="000D7131">
              <w:rPr>
                <w:rFonts w:asciiTheme="minorHAnsi" w:hAnsiTheme="minorHAnsi" w:cstheme="minorHAnsi"/>
                <w:sz w:val="22"/>
                <w:szCs w:val="22"/>
                <w:lang w:val="en-US"/>
              </w:rPr>
              <w:t xml:space="preserve"> individual students face, and should not automatically award the full amount.  </w:t>
            </w:r>
            <w:r w:rsidR="00B623FE" w:rsidRPr="000D7131">
              <w:rPr>
                <w:rFonts w:asciiTheme="minorHAnsi" w:hAnsiTheme="minorHAnsi" w:cstheme="minorHAnsi"/>
                <w:sz w:val="22"/>
                <w:szCs w:val="22"/>
                <w:lang w:val="en-US"/>
              </w:rPr>
              <w:t>The academy may refuse an application</w:t>
            </w:r>
            <w:r w:rsidR="00FE7989" w:rsidRPr="000D7131">
              <w:rPr>
                <w:rFonts w:asciiTheme="minorHAnsi" w:hAnsiTheme="minorHAnsi" w:cstheme="minorHAnsi"/>
                <w:sz w:val="22"/>
                <w:szCs w:val="22"/>
                <w:lang w:val="en-US"/>
              </w:rPr>
              <w:t xml:space="preserve"> or award a reduced amount</w:t>
            </w:r>
            <w:r w:rsidR="00B623FE" w:rsidRPr="000D7131">
              <w:rPr>
                <w:rFonts w:asciiTheme="minorHAnsi" w:hAnsiTheme="minorHAnsi" w:cstheme="minorHAnsi"/>
                <w:sz w:val="22"/>
                <w:szCs w:val="22"/>
                <w:lang w:val="en-US"/>
              </w:rPr>
              <w:t xml:space="preserve"> because they do not have a financial need, for example because there are no relevant costs or the financial needs are already being met</w:t>
            </w:r>
            <w:r w:rsidR="00461665" w:rsidRPr="000D7131">
              <w:rPr>
                <w:rFonts w:asciiTheme="minorHAnsi" w:hAnsiTheme="minorHAnsi" w:cstheme="minorHAnsi"/>
                <w:sz w:val="22"/>
                <w:szCs w:val="22"/>
                <w:lang w:val="en-US"/>
              </w:rPr>
              <w:t xml:space="preserve"> (for example by a partner)</w:t>
            </w:r>
            <w:r w:rsidR="00B623FE" w:rsidRPr="000D7131">
              <w:rPr>
                <w:rFonts w:asciiTheme="minorHAnsi" w:hAnsiTheme="minorHAnsi" w:cstheme="minorHAnsi"/>
                <w:sz w:val="22"/>
                <w:szCs w:val="22"/>
                <w:lang w:val="en-US"/>
              </w:rPr>
              <w:t xml:space="preserve">.  </w:t>
            </w:r>
            <w:r w:rsidR="00461665" w:rsidRPr="000D7131">
              <w:rPr>
                <w:rFonts w:asciiTheme="minorHAnsi" w:hAnsiTheme="minorHAnsi" w:cstheme="minorHAnsi"/>
                <w:sz w:val="22"/>
                <w:szCs w:val="22"/>
                <w:lang w:val="en-US"/>
              </w:rPr>
              <w:t>A student in receipt of the full £1,200 over a 30 week academic year would receive £40 a week</w:t>
            </w:r>
            <w:r w:rsidR="00457299">
              <w:rPr>
                <w:rFonts w:asciiTheme="minorHAnsi" w:hAnsiTheme="minorHAnsi" w:cstheme="minorHAnsi"/>
                <w:sz w:val="22"/>
                <w:szCs w:val="22"/>
                <w:lang w:val="en-US"/>
              </w:rPr>
              <w:t>, although this may be paid monthly</w:t>
            </w:r>
            <w:r w:rsidR="00461665" w:rsidRPr="000D7131">
              <w:rPr>
                <w:rFonts w:asciiTheme="minorHAnsi" w:hAnsiTheme="minorHAnsi" w:cstheme="minorHAnsi"/>
                <w:sz w:val="22"/>
                <w:szCs w:val="22"/>
                <w:lang w:val="en-US"/>
              </w:rPr>
              <w:t xml:space="preserve">.  </w:t>
            </w:r>
            <w:r w:rsidRPr="000D7131">
              <w:rPr>
                <w:rFonts w:asciiTheme="minorHAnsi" w:hAnsiTheme="minorHAnsi" w:cstheme="minorHAnsi"/>
                <w:sz w:val="22"/>
                <w:szCs w:val="22"/>
                <w:lang w:val="en-US"/>
              </w:rPr>
              <w:t>Defined vulnerable groups are;</w:t>
            </w:r>
          </w:p>
          <w:p w14:paraId="397347A9" w14:textId="77777777" w:rsidR="009062DE" w:rsidRPr="000D7131" w:rsidRDefault="00B623FE" w:rsidP="003C087F">
            <w:pPr>
              <w:pStyle w:val="ListParagraph"/>
              <w:numPr>
                <w:ilvl w:val="0"/>
                <w:numId w:val="13"/>
              </w:numPr>
              <w:spacing w:after="0" w:line="240" w:lineRule="auto"/>
              <w:jc w:val="both"/>
              <w:rPr>
                <w:rFonts w:cstheme="minorHAnsi"/>
                <w:lang w:val="en-US"/>
              </w:rPr>
            </w:pPr>
            <w:r w:rsidRPr="000D7131">
              <w:rPr>
                <w:rFonts w:cstheme="minorHAnsi"/>
                <w:lang w:val="en-US"/>
              </w:rPr>
              <w:t>In care</w:t>
            </w:r>
            <w:r w:rsidRPr="000D7131">
              <w:rPr>
                <w:rStyle w:val="FootnoteReference"/>
                <w:rFonts w:cstheme="minorHAnsi"/>
                <w:lang w:val="en-US"/>
              </w:rPr>
              <w:footnoteReference w:id="6"/>
            </w:r>
          </w:p>
          <w:p w14:paraId="1690F623" w14:textId="77777777" w:rsidR="00B623FE" w:rsidRPr="000D7131" w:rsidRDefault="00B623FE" w:rsidP="003C087F">
            <w:pPr>
              <w:pStyle w:val="ListParagraph"/>
              <w:numPr>
                <w:ilvl w:val="0"/>
                <w:numId w:val="13"/>
              </w:numPr>
              <w:spacing w:after="0" w:line="240" w:lineRule="auto"/>
              <w:jc w:val="both"/>
              <w:rPr>
                <w:rFonts w:cstheme="minorHAnsi"/>
                <w:lang w:val="en-US"/>
              </w:rPr>
            </w:pPr>
            <w:r w:rsidRPr="000D7131">
              <w:rPr>
                <w:rFonts w:cstheme="minorHAnsi"/>
                <w:lang w:val="en-US"/>
              </w:rPr>
              <w:t>Care leavers</w:t>
            </w:r>
          </w:p>
          <w:p w14:paraId="523F6B17" w14:textId="77777777" w:rsidR="00B623FE" w:rsidRPr="000D7131" w:rsidRDefault="00B623FE" w:rsidP="003C087F">
            <w:pPr>
              <w:pStyle w:val="ListParagraph"/>
              <w:numPr>
                <w:ilvl w:val="0"/>
                <w:numId w:val="13"/>
              </w:numPr>
              <w:spacing w:after="0" w:line="240" w:lineRule="auto"/>
              <w:jc w:val="both"/>
              <w:rPr>
                <w:rFonts w:cstheme="minorHAnsi"/>
                <w:lang w:val="en-US"/>
              </w:rPr>
            </w:pPr>
            <w:r w:rsidRPr="000D7131">
              <w:rPr>
                <w:rFonts w:cstheme="minorHAnsi"/>
                <w:lang w:val="en-US"/>
              </w:rPr>
              <w:t>Receiving Income Support or Universal Credit because they are financially supporting themselves, or financially supporting themselves and a dependent living with them, such as a child or partner.</w:t>
            </w:r>
          </w:p>
          <w:p w14:paraId="65FC2B0B" w14:textId="77777777" w:rsidR="00B623FE" w:rsidRPr="000D7131" w:rsidRDefault="00B623FE" w:rsidP="003C087F">
            <w:pPr>
              <w:pStyle w:val="ListParagraph"/>
              <w:numPr>
                <w:ilvl w:val="0"/>
                <w:numId w:val="13"/>
              </w:numPr>
              <w:spacing w:after="0" w:line="240" w:lineRule="auto"/>
              <w:jc w:val="both"/>
              <w:rPr>
                <w:rFonts w:cstheme="minorHAnsi"/>
                <w:lang w:val="en-US"/>
              </w:rPr>
            </w:pPr>
            <w:r w:rsidRPr="000D7131">
              <w:rPr>
                <w:rFonts w:cstheme="minorHAnsi"/>
                <w:lang w:val="en-US"/>
              </w:rPr>
              <w:t>Receiving Disability Living Allowance or Personal Independence Payments in their own right as well as Employment Support Allowance or UC in their own right.</w:t>
            </w:r>
          </w:p>
          <w:p w14:paraId="160C2F19" w14:textId="77777777" w:rsidR="00E017CA" w:rsidRPr="000D7131" w:rsidRDefault="00E017CA" w:rsidP="003C087F">
            <w:pPr>
              <w:jc w:val="both"/>
              <w:rPr>
                <w:rFonts w:asciiTheme="minorHAnsi" w:hAnsiTheme="minorHAnsi" w:cstheme="minorHAnsi"/>
                <w:b/>
                <w:sz w:val="22"/>
                <w:szCs w:val="22"/>
                <w:lang w:val="en-US"/>
              </w:rPr>
            </w:pPr>
          </w:p>
          <w:p w14:paraId="6C778D59" w14:textId="77777777" w:rsidR="00FE7989" w:rsidRPr="000D7131" w:rsidRDefault="00CA41B7" w:rsidP="003C087F">
            <w:pPr>
              <w:jc w:val="both"/>
              <w:rPr>
                <w:rFonts w:asciiTheme="minorHAnsi" w:hAnsiTheme="minorHAnsi" w:cstheme="minorHAnsi"/>
                <w:sz w:val="22"/>
                <w:szCs w:val="22"/>
                <w:lang w:val="en-US"/>
              </w:rPr>
            </w:pPr>
            <w:r w:rsidRPr="000D7131">
              <w:rPr>
                <w:rFonts w:asciiTheme="minorHAnsi" w:hAnsiTheme="minorHAnsi" w:cstheme="minorHAnsi"/>
                <w:b/>
                <w:sz w:val="22"/>
                <w:szCs w:val="22"/>
                <w:lang w:val="en-US"/>
              </w:rPr>
              <w:t xml:space="preserve">The Discretionary bursary </w:t>
            </w:r>
            <w:r w:rsidRPr="000D7131">
              <w:rPr>
                <w:rFonts w:asciiTheme="minorHAnsi" w:hAnsiTheme="minorHAnsi" w:cstheme="minorHAnsi"/>
                <w:sz w:val="22"/>
                <w:szCs w:val="22"/>
                <w:lang w:val="en-US"/>
              </w:rPr>
              <w:t xml:space="preserve">award is to help </w:t>
            </w:r>
            <w:r w:rsidR="00FE7989" w:rsidRPr="000D7131">
              <w:rPr>
                <w:rFonts w:asciiTheme="minorHAnsi" w:hAnsiTheme="minorHAnsi" w:cstheme="minorHAnsi"/>
                <w:sz w:val="22"/>
                <w:szCs w:val="22"/>
                <w:lang w:val="en-US"/>
              </w:rPr>
              <w:t>to overcome the financial barriers to education, this is likely to include but is not an exhaustive or exclusive list;</w:t>
            </w:r>
          </w:p>
          <w:p w14:paraId="4176832C" w14:textId="77777777" w:rsidR="00FE7989" w:rsidRPr="000D7131" w:rsidRDefault="00CA41B7" w:rsidP="003C087F">
            <w:pPr>
              <w:pStyle w:val="ListParagraph"/>
              <w:numPr>
                <w:ilvl w:val="0"/>
                <w:numId w:val="10"/>
              </w:numPr>
              <w:spacing w:after="0" w:line="240" w:lineRule="auto"/>
              <w:jc w:val="both"/>
              <w:rPr>
                <w:rFonts w:cstheme="minorHAnsi"/>
                <w:lang w:val="en-US"/>
              </w:rPr>
            </w:pPr>
            <w:r w:rsidRPr="000D7131">
              <w:rPr>
                <w:rFonts w:cstheme="minorHAnsi"/>
                <w:lang w:val="en-US"/>
              </w:rPr>
              <w:t>Essential b</w:t>
            </w:r>
            <w:r w:rsidR="00FE7989" w:rsidRPr="000D7131">
              <w:rPr>
                <w:rFonts w:cstheme="minorHAnsi"/>
                <w:lang w:val="en-US"/>
              </w:rPr>
              <w:t>ooks</w:t>
            </w:r>
            <w:r w:rsidRPr="000D7131">
              <w:rPr>
                <w:rFonts w:cstheme="minorHAnsi"/>
                <w:lang w:val="en-US"/>
              </w:rPr>
              <w:t>.</w:t>
            </w:r>
          </w:p>
          <w:p w14:paraId="7A9301ED" w14:textId="77777777" w:rsidR="00FE7989" w:rsidRPr="000D7131" w:rsidRDefault="00FE7989" w:rsidP="003C087F">
            <w:pPr>
              <w:pStyle w:val="ListParagraph"/>
              <w:numPr>
                <w:ilvl w:val="0"/>
                <w:numId w:val="10"/>
              </w:numPr>
              <w:spacing w:after="0" w:line="240" w:lineRule="auto"/>
              <w:jc w:val="both"/>
              <w:rPr>
                <w:rFonts w:cstheme="minorHAnsi"/>
                <w:lang w:val="en-US"/>
              </w:rPr>
            </w:pPr>
            <w:r w:rsidRPr="000D7131">
              <w:rPr>
                <w:rFonts w:cstheme="minorHAnsi"/>
                <w:lang w:val="en-US"/>
              </w:rPr>
              <w:t>Equipment</w:t>
            </w:r>
            <w:r w:rsidR="00CA41B7" w:rsidRPr="000D7131">
              <w:rPr>
                <w:rFonts w:cstheme="minorHAnsi"/>
                <w:lang w:val="en-US"/>
              </w:rPr>
              <w:t xml:space="preserve"> including specialist clothing and IT equipment.</w:t>
            </w:r>
          </w:p>
          <w:p w14:paraId="74BDE438" w14:textId="77777777" w:rsidR="00FE7989" w:rsidRPr="005A79D4" w:rsidRDefault="009A459A" w:rsidP="003C087F">
            <w:pPr>
              <w:pStyle w:val="ListParagraph"/>
              <w:numPr>
                <w:ilvl w:val="0"/>
                <w:numId w:val="10"/>
              </w:numPr>
              <w:spacing w:after="0" w:line="240" w:lineRule="auto"/>
              <w:jc w:val="both"/>
              <w:rPr>
                <w:rFonts w:cstheme="minorHAnsi"/>
                <w:lang w:val="en-US"/>
              </w:rPr>
            </w:pPr>
            <w:r w:rsidRPr="005A79D4">
              <w:rPr>
                <w:rFonts w:cstheme="minorHAnsi"/>
                <w:lang w:val="en-US"/>
              </w:rPr>
              <w:t>A</w:t>
            </w:r>
            <w:r w:rsidR="00CA41B7" w:rsidRPr="005A79D4">
              <w:rPr>
                <w:rFonts w:cstheme="minorHAnsi"/>
                <w:lang w:val="en-US"/>
              </w:rPr>
              <w:t xml:space="preserve">ctivities that are </w:t>
            </w:r>
            <w:r w:rsidRPr="005A79D4">
              <w:rPr>
                <w:rFonts w:cstheme="minorHAnsi"/>
                <w:lang w:val="en-US"/>
              </w:rPr>
              <w:t xml:space="preserve">an </w:t>
            </w:r>
            <w:r w:rsidR="00CA41B7" w:rsidRPr="005A79D4">
              <w:rPr>
                <w:rFonts w:cstheme="minorHAnsi"/>
                <w:lang w:val="en-US"/>
              </w:rPr>
              <w:t>essential</w:t>
            </w:r>
            <w:r w:rsidRPr="005A79D4">
              <w:rPr>
                <w:rFonts w:cstheme="minorHAnsi"/>
                <w:lang w:val="en-US"/>
              </w:rPr>
              <w:t xml:space="preserve"> part of the</w:t>
            </w:r>
            <w:r w:rsidR="00CA41B7" w:rsidRPr="005A79D4">
              <w:rPr>
                <w:rFonts w:cstheme="minorHAnsi"/>
                <w:lang w:val="en-US"/>
              </w:rPr>
              <w:t xml:space="preserve"> students’ </w:t>
            </w:r>
            <w:r w:rsidRPr="005A79D4">
              <w:rPr>
                <w:rFonts w:cstheme="minorHAnsi"/>
                <w:lang w:val="en-US"/>
              </w:rPr>
              <w:t xml:space="preserve">16-19 </w:t>
            </w:r>
            <w:r w:rsidR="00CA41B7" w:rsidRPr="005A79D4">
              <w:rPr>
                <w:rFonts w:cstheme="minorHAnsi"/>
                <w:lang w:val="en-US"/>
              </w:rPr>
              <w:t xml:space="preserve">study </w:t>
            </w:r>
            <w:proofErr w:type="spellStart"/>
            <w:r w:rsidR="00CA41B7" w:rsidRPr="005A79D4">
              <w:rPr>
                <w:rFonts w:cstheme="minorHAnsi"/>
                <w:lang w:val="en-US"/>
              </w:rPr>
              <w:t>programme</w:t>
            </w:r>
            <w:proofErr w:type="spellEnd"/>
            <w:r w:rsidR="00CA41B7" w:rsidRPr="005A79D4">
              <w:rPr>
                <w:rFonts w:cstheme="minorHAnsi"/>
                <w:lang w:val="en-US"/>
              </w:rPr>
              <w:t>.  For example, study v</w:t>
            </w:r>
            <w:r w:rsidR="00FE7989" w:rsidRPr="005A79D4">
              <w:rPr>
                <w:rFonts w:cstheme="minorHAnsi"/>
                <w:lang w:val="en-US"/>
              </w:rPr>
              <w:t xml:space="preserve">isits within </w:t>
            </w:r>
            <w:r w:rsidR="00CA41B7" w:rsidRPr="005A79D4">
              <w:rPr>
                <w:rFonts w:cstheme="minorHAnsi"/>
                <w:lang w:val="en-US"/>
              </w:rPr>
              <w:t xml:space="preserve">the </w:t>
            </w:r>
            <w:proofErr w:type="spellStart"/>
            <w:r w:rsidR="00CA41B7" w:rsidRPr="005A79D4">
              <w:rPr>
                <w:rFonts w:cstheme="minorHAnsi"/>
                <w:lang w:val="en-US"/>
              </w:rPr>
              <w:t>programme</w:t>
            </w:r>
            <w:proofErr w:type="spellEnd"/>
            <w:r w:rsidR="00CA41B7" w:rsidRPr="005A79D4">
              <w:rPr>
                <w:rFonts w:cstheme="minorHAnsi"/>
                <w:lang w:val="en-US"/>
              </w:rPr>
              <w:t xml:space="preserve"> of study</w:t>
            </w:r>
            <w:r w:rsidR="00FE7989" w:rsidRPr="005A79D4">
              <w:rPr>
                <w:rFonts w:cstheme="minorHAnsi"/>
                <w:lang w:val="en-US"/>
              </w:rPr>
              <w:t xml:space="preserve"> and </w:t>
            </w:r>
            <w:r w:rsidR="00CA41B7" w:rsidRPr="005A79D4">
              <w:rPr>
                <w:rFonts w:cstheme="minorHAnsi"/>
                <w:lang w:val="en-US"/>
              </w:rPr>
              <w:t>activities outside the curriculum</w:t>
            </w:r>
            <w:r w:rsidR="00FE7989" w:rsidRPr="005A79D4">
              <w:rPr>
                <w:rFonts w:cstheme="minorHAnsi"/>
                <w:lang w:val="en-US"/>
              </w:rPr>
              <w:t xml:space="preserve"> that build the graduate qualities.</w:t>
            </w:r>
          </w:p>
          <w:p w14:paraId="33E933C0" w14:textId="77777777" w:rsidR="00FE7989" w:rsidRPr="000D7131" w:rsidRDefault="00FE7989" w:rsidP="003C087F">
            <w:pPr>
              <w:pStyle w:val="ListParagraph"/>
              <w:numPr>
                <w:ilvl w:val="0"/>
                <w:numId w:val="10"/>
              </w:numPr>
              <w:spacing w:after="0" w:line="240" w:lineRule="auto"/>
              <w:jc w:val="both"/>
              <w:rPr>
                <w:rFonts w:cstheme="minorHAnsi"/>
                <w:lang w:val="en-US"/>
              </w:rPr>
            </w:pPr>
            <w:r w:rsidRPr="000D7131">
              <w:rPr>
                <w:rFonts w:cstheme="minorHAnsi"/>
                <w:lang w:val="en-US"/>
              </w:rPr>
              <w:t>Public transport.</w:t>
            </w:r>
          </w:p>
          <w:p w14:paraId="14732CE3" w14:textId="77777777" w:rsidR="00FE7989" w:rsidRPr="000D7131" w:rsidRDefault="00FE7989" w:rsidP="00E017CA">
            <w:pPr>
              <w:pStyle w:val="ListParagraph"/>
              <w:numPr>
                <w:ilvl w:val="0"/>
                <w:numId w:val="10"/>
              </w:numPr>
              <w:spacing w:after="0" w:line="240" w:lineRule="auto"/>
              <w:rPr>
                <w:rFonts w:cstheme="minorHAnsi"/>
                <w:lang w:val="en-US"/>
              </w:rPr>
            </w:pPr>
            <w:r w:rsidRPr="000D7131">
              <w:rPr>
                <w:rFonts w:cstheme="minorHAnsi"/>
                <w:lang w:val="en-US"/>
              </w:rPr>
              <w:t>Music lessons</w:t>
            </w:r>
          </w:p>
          <w:p w14:paraId="218DB5AB" w14:textId="77777777" w:rsidR="00FE7989" w:rsidRPr="000D7131" w:rsidRDefault="00FE7989" w:rsidP="00E017CA">
            <w:pPr>
              <w:pStyle w:val="ListParagraph"/>
              <w:numPr>
                <w:ilvl w:val="0"/>
                <w:numId w:val="10"/>
              </w:numPr>
              <w:spacing w:after="0" w:line="240" w:lineRule="auto"/>
              <w:rPr>
                <w:rFonts w:cstheme="minorHAnsi"/>
                <w:lang w:val="en-US"/>
              </w:rPr>
            </w:pPr>
            <w:r w:rsidRPr="000D7131">
              <w:rPr>
                <w:rFonts w:cstheme="minorHAnsi"/>
                <w:lang w:val="en-US"/>
              </w:rPr>
              <w:t>Meals</w:t>
            </w:r>
            <w:r w:rsidR="00457299">
              <w:rPr>
                <w:rFonts w:cstheme="minorHAnsi"/>
                <w:lang w:val="en-US"/>
              </w:rPr>
              <w:t xml:space="preserve"> – where eligible</w:t>
            </w:r>
          </w:p>
          <w:p w14:paraId="547F133F" w14:textId="77777777" w:rsidR="00447F00" w:rsidRPr="000D7131" w:rsidRDefault="00447F00" w:rsidP="00E017CA">
            <w:pPr>
              <w:pStyle w:val="ListParagraph"/>
              <w:numPr>
                <w:ilvl w:val="0"/>
                <w:numId w:val="10"/>
              </w:numPr>
              <w:spacing w:after="0" w:line="240" w:lineRule="auto"/>
              <w:rPr>
                <w:rFonts w:cstheme="minorHAnsi"/>
                <w:lang w:val="en-US"/>
              </w:rPr>
            </w:pPr>
            <w:r w:rsidRPr="000D7131">
              <w:rPr>
                <w:rFonts w:cstheme="minorHAnsi"/>
                <w:lang w:val="en-US"/>
              </w:rPr>
              <w:t>University open days and interviews</w:t>
            </w:r>
          </w:p>
          <w:p w14:paraId="2A124595" w14:textId="77777777" w:rsidR="009C1E27" w:rsidRDefault="009C1E27" w:rsidP="00E017CA">
            <w:pPr>
              <w:rPr>
                <w:rFonts w:asciiTheme="minorHAnsi" w:hAnsiTheme="minorHAnsi" w:cstheme="minorHAnsi"/>
                <w:sz w:val="22"/>
                <w:szCs w:val="22"/>
                <w:lang w:val="en-US"/>
              </w:rPr>
            </w:pPr>
          </w:p>
          <w:p w14:paraId="1A043BF9" w14:textId="77777777" w:rsidR="00FE7989" w:rsidRPr="000D7131" w:rsidRDefault="009C1E27" w:rsidP="003C087F">
            <w:pPr>
              <w:jc w:val="both"/>
              <w:rPr>
                <w:rFonts w:asciiTheme="minorHAnsi" w:hAnsiTheme="minorHAnsi" w:cstheme="minorHAnsi"/>
                <w:sz w:val="22"/>
                <w:szCs w:val="22"/>
                <w:lang w:val="en-US"/>
              </w:rPr>
            </w:pPr>
            <w:r>
              <w:rPr>
                <w:rFonts w:asciiTheme="minorHAnsi" w:hAnsiTheme="minorHAnsi" w:cstheme="minorHAnsi"/>
                <w:sz w:val="22"/>
                <w:szCs w:val="22"/>
                <w:lang w:val="en-US"/>
              </w:rPr>
              <w:t>Bursary funding does not support; the l</w:t>
            </w:r>
            <w:r w:rsidR="00CA41B7" w:rsidRPr="000D7131">
              <w:rPr>
                <w:rFonts w:asciiTheme="minorHAnsi" w:hAnsiTheme="minorHAnsi" w:cstheme="minorHAnsi"/>
                <w:sz w:val="22"/>
                <w:szCs w:val="22"/>
                <w:lang w:val="en-US"/>
              </w:rPr>
              <w:t xml:space="preserve">earning support and services that institutions give to students, for example counselling or mentoring, </w:t>
            </w:r>
            <w:r>
              <w:rPr>
                <w:rFonts w:asciiTheme="minorHAnsi" w:hAnsiTheme="minorHAnsi" w:cstheme="minorHAnsi"/>
                <w:sz w:val="22"/>
                <w:szCs w:val="22"/>
                <w:lang w:val="en-US"/>
              </w:rPr>
              <w:t xml:space="preserve">and is not to support general household incomes. </w:t>
            </w:r>
          </w:p>
          <w:p w14:paraId="2F7D86F1" w14:textId="77777777" w:rsidR="00FE7989" w:rsidRPr="000D7131" w:rsidRDefault="00FE7989" w:rsidP="00E017CA">
            <w:pPr>
              <w:rPr>
                <w:rFonts w:asciiTheme="minorHAnsi" w:hAnsiTheme="minorHAnsi" w:cstheme="minorHAnsi"/>
                <w:sz w:val="22"/>
                <w:szCs w:val="22"/>
                <w:lang w:val="en-US"/>
              </w:rPr>
            </w:pPr>
          </w:p>
          <w:p w14:paraId="7DAE89F6" w14:textId="77777777" w:rsidR="008A67BD" w:rsidRPr="000D7131" w:rsidRDefault="008A67BD" w:rsidP="008A67BD">
            <w:pPr>
              <w:rPr>
                <w:rFonts w:asciiTheme="minorHAnsi" w:hAnsiTheme="minorHAnsi" w:cstheme="minorHAnsi"/>
                <w:b/>
                <w:sz w:val="22"/>
                <w:szCs w:val="22"/>
                <w:lang w:val="en-US"/>
              </w:rPr>
            </w:pPr>
            <w:r w:rsidRPr="000D7131">
              <w:rPr>
                <w:rFonts w:asciiTheme="minorHAnsi" w:hAnsiTheme="minorHAnsi" w:cstheme="minorHAnsi"/>
                <w:b/>
                <w:sz w:val="22"/>
                <w:szCs w:val="22"/>
                <w:lang w:val="en-US"/>
              </w:rPr>
              <w:lastRenderedPageBreak/>
              <w:t>Free School Meals</w:t>
            </w:r>
          </w:p>
          <w:p w14:paraId="2BEFAE56" w14:textId="77777777" w:rsidR="008A67BD" w:rsidRPr="000D7131" w:rsidRDefault="008A67BD" w:rsidP="008A67BD">
            <w:pPr>
              <w:rPr>
                <w:rFonts w:asciiTheme="minorHAnsi" w:hAnsiTheme="minorHAnsi" w:cstheme="minorHAnsi"/>
                <w:sz w:val="22"/>
                <w:szCs w:val="22"/>
                <w:highlight w:val="yellow"/>
                <w:lang w:val="en-US"/>
              </w:rPr>
            </w:pPr>
          </w:p>
          <w:p w14:paraId="24FFD869" w14:textId="77777777" w:rsidR="008A67BD" w:rsidRPr="000D7131" w:rsidRDefault="008A67BD" w:rsidP="003C087F">
            <w:pPr>
              <w:jc w:val="both"/>
              <w:rPr>
                <w:rFonts w:asciiTheme="minorHAnsi" w:hAnsiTheme="minorHAnsi" w:cstheme="minorHAnsi"/>
                <w:sz w:val="22"/>
                <w:szCs w:val="22"/>
                <w:highlight w:val="yellow"/>
                <w:lang w:val="en-US"/>
              </w:rPr>
            </w:pPr>
            <w:r w:rsidRPr="009C1E27">
              <w:rPr>
                <w:rFonts w:asciiTheme="minorHAnsi" w:hAnsiTheme="minorHAnsi" w:cstheme="minorHAnsi"/>
                <w:sz w:val="22"/>
                <w:szCs w:val="22"/>
                <w:lang w:val="en-US"/>
              </w:rPr>
              <w:t xml:space="preserve">Free meals are targeted at disadvantaged students and this funding forms part of the overall Bursary Fund designed to overcome the financial barriers to participation.  </w:t>
            </w:r>
            <w:r w:rsidRPr="009A459A">
              <w:rPr>
                <w:rFonts w:asciiTheme="minorHAnsi" w:hAnsiTheme="minorHAnsi" w:cstheme="minorHAnsi"/>
                <w:sz w:val="22"/>
                <w:szCs w:val="22"/>
                <w:lang w:val="en-US"/>
              </w:rPr>
              <w:t>The criteria used to allocate free school meals are available in the student and parent guide and the gov.uk website.</w:t>
            </w:r>
            <w:r w:rsidRPr="009A459A">
              <w:rPr>
                <w:rStyle w:val="FootnoteReference"/>
                <w:rFonts w:asciiTheme="minorHAnsi" w:hAnsiTheme="minorHAnsi" w:cstheme="minorHAnsi"/>
                <w:sz w:val="22"/>
                <w:szCs w:val="22"/>
                <w:lang w:val="en-US"/>
              </w:rPr>
              <w:footnoteReference w:id="7"/>
            </w:r>
          </w:p>
          <w:p w14:paraId="061DEC58" w14:textId="77777777" w:rsidR="008A67BD" w:rsidRPr="000D7131" w:rsidRDefault="008A67BD" w:rsidP="003C087F">
            <w:pPr>
              <w:jc w:val="both"/>
              <w:rPr>
                <w:rFonts w:asciiTheme="minorHAnsi" w:hAnsiTheme="minorHAnsi" w:cstheme="minorHAnsi"/>
                <w:sz w:val="22"/>
                <w:szCs w:val="22"/>
                <w:highlight w:val="yellow"/>
                <w:lang w:val="en-US"/>
              </w:rPr>
            </w:pPr>
          </w:p>
          <w:p w14:paraId="4500A849" w14:textId="77777777" w:rsidR="00C11DBD" w:rsidRPr="009C1E27" w:rsidRDefault="008A67BD" w:rsidP="003C087F">
            <w:pPr>
              <w:jc w:val="both"/>
              <w:rPr>
                <w:rFonts w:asciiTheme="minorHAnsi" w:hAnsiTheme="minorHAnsi" w:cstheme="minorHAnsi"/>
                <w:sz w:val="22"/>
                <w:szCs w:val="22"/>
                <w:lang w:val="en-US"/>
              </w:rPr>
            </w:pPr>
            <w:r w:rsidRPr="009C1E27">
              <w:rPr>
                <w:rFonts w:asciiTheme="minorHAnsi" w:hAnsiTheme="minorHAnsi" w:cstheme="minorHAnsi"/>
                <w:sz w:val="22"/>
                <w:szCs w:val="22"/>
                <w:lang w:val="en-US"/>
              </w:rPr>
              <w:t xml:space="preserve">Free meals are provided using the on-site catering facilities for every day that the eligible learner attends for their </w:t>
            </w:r>
            <w:proofErr w:type="spellStart"/>
            <w:r w:rsidRPr="009C1E27">
              <w:rPr>
                <w:rFonts w:asciiTheme="minorHAnsi" w:hAnsiTheme="minorHAnsi" w:cstheme="minorHAnsi"/>
                <w:sz w:val="22"/>
                <w:szCs w:val="22"/>
                <w:lang w:val="en-US"/>
              </w:rPr>
              <w:t>programme</w:t>
            </w:r>
            <w:proofErr w:type="spellEnd"/>
            <w:r w:rsidRPr="009C1E27">
              <w:rPr>
                <w:rFonts w:asciiTheme="minorHAnsi" w:hAnsiTheme="minorHAnsi" w:cstheme="minorHAnsi"/>
                <w:sz w:val="22"/>
                <w:szCs w:val="22"/>
                <w:lang w:val="en-US"/>
              </w:rPr>
              <w:t xml:space="preserve"> of study.  This includes examinations, study visits, and any work experience or industry placement that the student undertakes as part of their </w:t>
            </w:r>
            <w:proofErr w:type="spellStart"/>
            <w:r w:rsidRPr="009C1E27">
              <w:rPr>
                <w:rFonts w:asciiTheme="minorHAnsi" w:hAnsiTheme="minorHAnsi" w:cstheme="minorHAnsi"/>
                <w:sz w:val="22"/>
                <w:szCs w:val="22"/>
                <w:lang w:val="en-US"/>
              </w:rPr>
              <w:t>programme</w:t>
            </w:r>
            <w:proofErr w:type="spellEnd"/>
            <w:r w:rsidRPr="009C1E27">
              <w:rPr>
                <w:rFonts w:asciiTheme="minorHAnsi" w:hAnsiTheme="minorHAnsi" w:cstheme="minorHAnsi"/>
                <w:sz w:val="22"/>
                <w:szCs w:val="22"/>
                <w:lang w:val="en-US"/>
              </w:rPr>
              <w:t xml:space="preserve"> of study.</w:t>
            </w:r>
            <w:r w:rsidR="00C11DBD" w:rsidRPr="009C1E27">
              <w:rPr>
                <w:rFonts w:asciiTheme="minorHAnsi" w:hAnsiTheme="minorHAnsi" w:cstheme="minorHAnsi"/>
                <w:sz w:val="22"/>
                <w:szCs w:val="22"/>
                <w:lang w:val="en-US"/>
              </w:rPr>
              <w:t xml:space="preserve">  When a student is attending an off-site activity, or in exceptional circumstances (see guidance document for further detail), the free meal may be provided as a packed lunch, voucher or cash payment.  For example, when attending a study visit or industry placement.</w:t>
            </w:r>
          </w:p>
          <w:p w14:paraId="4544DAD3" w14:textId="77777777" w:rsidR="008A67BD" w:rsidRPr="000D7131" w:rsidRDefault="008A67BD" w:rsidP="008A67BD">
            <w:pPr>
              <w:rPr>
                <w:rFonts w:asciiTheme="minorHAnsi" w:hAnsiTheme="minorHAnsi" w:cstheme="minorHAnsi"/>
                <w:sz w:val="22"/>
                <w:szCs w:val="22"/>
                <w:lang w:val="en-US"/>
              </w:rPr>
            </w:pPr>
          </w:p>
          <w:p w14:paraId="7D8BB67A" w14:textId="77777777" w:rsidR="00461665" w:rsidRPr="000D7131" w:rsidRDefault="00C11DBD" w:rsidP="00E017CA">
            <w:pPr>
              <w:rPr>
                <w:rFonts w:asciiTheme="minorHAnsi" w:hAnsiTheme="minorHAnsi" w:cstheme="minorHAnsi"/>
                <w:sz w:val="22"/>
                <w:szCs w:val="22"/>
                <w:lang w:val="en-US"/>
              </w:rPr>
            </w:pPr>
            <w:r w:rsidRPr="000D7131">
              <w:rPr>
                <w:rFonts w:asciiTheme="minorHAnsi" w:hAnsiTheme="minorHAnsi" w:cstheme="minorHAnsi"/>
                <w:sz w:val="22"/>
                <w:szCs w:val="22"/>
                <w:lang w:val="en-US"/>
              </w:rPr>
              <w:t>The nominal amount of funding for each meal is £2.41 with enhancements to this being provided from the 16-19 bursary funding.</w:t>
            </w:r>
          </w:p>
          <w:p w14:paraId="73E460C0" w14:textId="77777777" w:rsidR="008A67BD" w:rsidRPr="000D7131" w:rsidRDefault="008A67BD" w:rsidP="00E017CA">
            <w:pPr>
              <w:rPr>
                <w:rFonts w:asciiTheme="minorHAnsi" w:hAnsiTheme="minorHAnsi" w:cstheme="minorHAnsi"/>
                <w:sz w:val="22"/>
                <w:szCs w:val="22"/>
                <w:lang w:val="en-US"/>
              </w:rPr>
            </w:pPr>
          </w:p>
          <w:p w14:paraId="1B609E76" w14:textId="77777777" w:rsidR="008A67BD" w:rsidRPr="000D7131" w:rsidRDefault="008A67BD" w:rsidP="00E017CA">
            <w:pPr>
              <w:rPr>
                <w:rFonts w:asciiTheme="minorHAnsi" w:hAnsiTheme="minorHAnsi" w:cstheme="minorHAnsi"/>
                <w:sz w:val="22"/>
                <w:szCs w:val="22"/>
                <w:lang w:val="en-US"/>
              </w:rPr>
            </w:pPr>
          </w:p>
          <w:p w14:paraId="64ABE051" w14:textId="77777777" w:rsidR="00CA76EB" w:rsidRPr="000D7131" w:rsidRDefault="00CA76EB" w:rsidP="00E017CA">
            <w:pPr>
              <w:rPr>
                <w:rFonts w:asciiTheme="minorHAnsi" w:hAnsiTheme="minorHAnsi" w:cstheme="minorHAnsi"/>
                <w:b/>
                <w:sz w:val="22"/>
                <w:szCs w:val="22"/>
                <w:lang w:val="en-US"/>
              </w:rPr>
            </w:pPr>
            <w:r w:rsidRPr="000D7131">
              <w:rPr>
                <w:rFonts w:asciiTheme="minorHAnsi" w:hAnsiTheme="minorHAnsi" w:cstheme="minorHAnsi"/>
                <w:b/>
                <w:sz w:val="22"/>
                <w:szCs w:val="22"/>
                <w:lang w:val="en-US"/>
              </w:rPr>
              <w:t>Applications and Data Protection/GDPR</w:t>
            </w:r>
          </w:p>
          <w:p w14:paraId="30C98042" w14:textId="77777777" w:rsidR="00CA76EB" w:rsidRPr="000D7131" w:rsidRDefault="00CA76EB" w:rsidP="00E017CA">
            <w:pPr>
              <w:rPr>
                <w:rFonts w:asciiTheme="minorHAnsi" w:hAnsiTheme="minorHAnsi" w:cstheme="minorHAnsi"/>
                <w:b/>
                <w:sz w:val="22"/>
                <w:szCs w:val="22"/>
                <w:lang w:val="en-US"/>
              </w:rPr>
            </w:pPr>
          </w:p>
          <w:p w14:paraId="3D4A2EFB" w14:textId="77777777" w:rsidR="005B2EC3" w:rsidRPr="002F0914" w:rsidRDefault="00CA76EB" w:rsidP="003C087F">
            <w:pPr>
              <w:pStyle w:val="ListParagraph"/>
              <w:numPr>
                <w:ilvl w:val="0"/>
                <w:numId w:val="14"/>
              </w:numPr>
              <w:spacing w:after="0" w:line="240" w:lineRule="auto"/>
              <w:jc w:val="both"/>
              <w:rPr>
                <w:rFonts w:cstheme="minorHAnsi"/>
                <w:lang w:val="en-US"/>
              </w:rPr>
            </w:pPr>
            <w:r w:rsidRPr="002F0914">
              <w:rPr>
                <w:rFonts w:cstheme="minorHAnsi"/>
                <w:b/>
                <w:lang w:val="en-US"/>
              </w:rPr>
              <w:t>St</w:t>
            </w:r>
            <w:r w:rsidRPr="00BC34D3">
              <w:rPr>
                <w:rFonts w:cstheme="minorHAnsi"/>
                <w:b/>
                <w:lang w:val="en-US"/>
              </w:rPr>
              <w:t xml:space="preserve">udents and parents will be invited and encouraged to apply during </w:t>
            </w:r>
            <w:r w:rsidR="00C7792D" w:rsidRPr="00BC34D3">
              <w:rPr>
                <w:rFonts w:cstheme="minorHAnsi"/>
                <w:b/>
                <w:lang w:val="en-US"/>
              </w:rPr>
              <w:t xml:space="preserve">the </w:t>
            </w:r>
            <w:r w:rsidRPr="00BC34D3">
              <w:rPr>
                <w:rFonts w:cstheme="minorHAnsi"/>
                <w:b/>
                <w:lang w:val="en-US"/>
              </w:rPr>
              <w:t xml:space="preserve">enrolment </w:t>
            </w:r>
            <w:r w:rsidR="00C7792D" w:rsidRPr="00BC34D3">
              <w:rPr>
                <w:rFonts w:cstheme="minorHAnsi"/>
                <w:b/>
                <w:lang w:val="en-US"/>
              </w:rPr>
              <w:t xml:space="preserve">process </w:t>
            </w:r>
            <w:r w:rsidRPr="00BC34D3">
              <w:rPr>
                <w:rFonts w:cstheme="minorHAnsi"/>
                <w:b/>
                <w:lang w:val="en-US"/>
              </w:rPr>
              <w:t>and throughout the academic year</w:t>
            </w:r>
            <w:r w:rsidRPr="000D7131">
              <w:rPr>
                <w:rFonts w:cstheme="minorHAnsi"/>
                <w:lang w:val="en-US"/>
              </w:rPr>
              <w:t>.</w:t>
            </w:r>
            <w:r w:rsidR="00C7792D" w:rsidRPr="000D7131">
              <w:rPr>
                <w:rFonts w:cstheme="minorHAnsi"/>
                <w:lang w:val="en-US"/>
              </w:rPr>
              <w:t xml:space="preserve"> </w:t>
            </w:r>
            <w:r w:rsidR="005B2EC3" w:rsidRPr="000D7131">
              <w:rPr>
                <w:rFonts w:cstheme="minorHAnsi"/>
                <w:lang w:val="en-US"/>
              </w:rPr>
              <w:t>The academy will use a range of communication strategies to help students and</w:t>
            </w:r>
            <w:r w:rsidR="005A79D4">
              <w:rPr>
                <w:rFonts w:cstheme="minorHAnsi"/>
                <w:lang w:val="en-US"/>
              </w:rPr>
              <w:t xml:space="preserve"> the</w:t>
            </w:r>
            <w:r w:rsidR="005B2EC3" w:rsidRPr="000D7131">
              <w:rPr>
                <w:rFonts w:cstheme="minorHAnsi"/>
                <w:lang w:val="en-US"/>
              </w:rPr>
              <w:t xml:space="preserve"> family feel able to apply for a bursary.  The academy may choose to access the ‘key to success site’</w:t>
            </w:r>
            <w:r w:rsidR="005B2EC3" w:rsidRPr="000D7131">
              <w:rPr>
                <w:rStyle w:val="FootnoteReference"/>
                <w:rFonts w:cstheme="minorHAnsi"/>
                <w:lang w:val="en-US"/>
              </w:rPr>
              <w:footnoteReference w:id="8"/>
            </w:r>
            <w:r w:rsidR="00C7792D" w:rsidRPr="000D7131">
              <w:rPr>
                <w:rFonts w:cstheme="minorHAnsi"/>
                <w:lang w:val="en-US"/>
              </w:rPr>
              <w:t xml:space="preserve"> </w:t>
            </w:r>
            <w:r w:rsidR="005B2EC3" w:rsidRPr="000D7131">
              <w:rPr>
                <w:rFonts w:cstheme="minorHAnsi"/>
                <w:lang w:val="en-US"/>
              </w:rPr>
              <w:t xml:space="preserve">to identify if new students were in receipt of pupil premium in year 11 or SEND support, to pro-actively target bursaries information at identified students.  </w:t>
            </w:r>
            <w:r w:rsidR="00C7792D" w:rsidRPr="002F0914">
              <w:rPr>
                <w:rFonts w:cstheme="minorHAnsi"/>
                <w:lang w:val="en-US"/>
              </w:rPr>
              <w:t>The deadline for applications to be assessed equally is 30</w:t>
            </w:r>
            <w:r w:rsidR="00C7792D" w:rsidRPr="002F0914">
              <w:rPr>
                <w:rFonts w:cstheme="minorHAnsi"/>
                <w:vertAlign w:val="superscript"/>
                <w:lang w:val="en-US"/>
              </w:rPr>
              <w:t>th</w:t>
            </w:r>
            <w:r w:rsidR="00C7792D" w:rsidRPr="002F0914">
              <w:rPr>
                <w:rFonts w:cstheme="minorHAnsi"/>
                <w:lang w:val="en-US"/>
              </w:rPr>
              <w:t xml:space="preserve"> September. </w:t>
            </w:r>
            <w:r w:rsidR="001F5DE3" w:rsidRPr="002F0914">
              <w:rPr>
                <w:rFonts w:cstheme="minorHAnsi"/>
                <w:lang w:val="en-US"/>
              </w:rPr>
              <w:t xml:space="preserve"> This is not the date that </w:t>
            </w:r>
            <w:r w:rsidR="009A459A" w:rsidRPr="002F0914">
              <w:rPr>
                <w:rFonts w:cstheme="minorHAnsi"/>
                <w:lang w:val="en-US"/>
              </w:rPr>
              <w:t xml:space="preserve">received </w:t>
            </w:r>
            <w:r w:rsidR="001F5DE3" w:rsidRPr="002F0914">
              <w:rPr>
                <w:rFonts w:cstheme="minorHAnsi"/>
                <w:lang w:val="en-US"/>
              </w:rPr>
              <w:t xml:space="preserve">applications will have been processed. </w:t>
            </w:r>
            <w:r w:rsidR="00C7792D" w:rsidRPr="002F0914">
              <w:rPr>
                <w:rFonts w:cstheme="minorHAnsi"/>
                <w:lang w:val="en-US"/>
              </w:rPr>
              <w:t xml:space="preserve"> </w:t>
            </w:r>
            <w:r w:rsidR="00BC34D3" w:rsidRPr="002F0914">
              <w:rPr>
                <w:rFonts w:cstheme="minorHAnsi"/>
                <w:lang w:val="en-US"/>
              </w:rPr>
              <w:t>The academy will always endeavor to meet student needs at any time of year, but f</w:t>
            </w:r>
            <w:r w:rsidR="00C7792D" w:rsidRPr="002F0914">
              <w:rPr>
                <w:rFonts w:cstheme="minorHAnsi"/>
                <w:lang w:val="en-US"/>
              </w:rPr>
              <w:t>ollowing 30</w:t>
            </w:r>
            <w:r w:rsidR="00C7792D" w:rsidRPr="002F0914">
              <w:rPr>
                <w:rFonts w:cstheme="minorHAnsi"/>
                <w:vertAlign w:val="superscript"/>
                <w:lang w:val="en-US"/>
              </w:rPr>
              <w:t>th</w:t>
            </w:r>
            <w:r w:rsidR="00C7792D" w:rsidRPr="002F0914">
              <w:rPr>
                <w:rFonts w:cstheme="minorHAnsi"/>
                <w:lang w:val="en-US"/>
              </w:rPr>
              <w:t xml:space="preserve"> September the award may be reduced to fit within the funds available.</w:t>
            </w:r>
            <w:r w:rsidR="009959E5" w:rsidRPr="002F0914">
              <w:rPr>
                <w:rStyle w:val="FootnoteReference"/>
                <w:rFonts w:cstheme="minorHAnsi"/>
                <w:lang w:val="en-US"/>
              </w:rPr>
              <w:footnoteReference w:id="9"/>
            </w:r>
          </w:p>
          <w:p w14:paraId="61F92634" w14:textId="77777777" w:rsidR="00E646C8" w:rsidRPr="000D7131" w:rsidRDefault="006C0CE4" w:rsidP="003C087F">
            <w:pPr>
              <w:pStyle w:val="ListParagraph"/>
              <w:numPr>
                <w:ilvl w:val="0"/>
                <w:numId w:val="14"/>
              </w:numPr>
              <w:spacing w:after="0" w:line="240" w:lineRule="auto"/>
              <w:jc w:val="both"/>
              <w:rPr>
                <w:rFonts w:cstheme="minorHAnsi"/>
                <w:lang w:val="en-US"/>
              </w:rPr>
            </w:pPr>
            <w:r w:rsidRPr="000D7131">
              <w:rPr>
                <w:rFonts w:cstheme="minorHAnsi"/>
                <w:lang w:val="en-US"/>
              </w:rPr>
              <w:t>The academy must check s</w:t>
            </w:r>
            <w:r w:rsidR="00E646C8" w:rsidRPr="000D7131">
              <w:rPr>
                <w:rFonts w:cstheme="minorHAnsi"/>
                <w:lang w:val="en-US"/>
              </w:rPr>
              <w:t>tudent</w:t>
            </w:r>
            <w:r w:rsidRPr="000D7131">
              <w:rPr>
                <w:rFonts w:cstheme="minorHAnsi"/>
                <w:lang w:val="en-US"/>
              </w:rPr>
              <w:t xml:space="preserve"> eligibility in</w:t>
            </w:r>
            <w:r w:rsidR="00E646C8" w:rsidRPr="000D7131">
              <w:rPr>
                <w:rFonts w:cstheme="minorHAnsi"/>
                <w:lang w:val="en-US"/>
              </w:rPr>
              <w:t xml:space="preserve"> each</w:t>
            </w:r>
            <w:r w:rsidRPr="000D7131">
              <w:rPr>
                <w:rFonts w:cstheme="minorHAnsi"/>
                <w:lang w:val="en-US"/>
              </w:rPr>
              <w:t xml:space="preserve"> academic year, which means that the students must apply separately for each academic year.</w:t>
            </w:r>
          </w:p>
          <w:p w14:paraId="2E3B7C9F" w14:textId="77777777" w:rsidR="00CA76EB" w:rsidRPr="000D7131" w:rsidRDefault="00CA76EB" w:rsidP="003C087F">
            <w:pPr>
              <w:pStyle w:val="ListParagraph"/>
              <w:numPr>
                <w:ilvl w:val="0"/>
                <w:numId w:val="14"/>
              </w:numPr>
              <w:spacing w:after="0" w:line="240" w:lineRule="auto"/>
              <w:jc w:val="both"/>
              <w:rPr>
                <w:rFonts w:cstheme="minorHAnsi"/>
                <w:lang w:val="en-US"/>
              </w:rPr>
            </w:pPr>
            <w:r w:rsidRPr="000D7131">
              <w:rPr>
                <w:rFonts w:cstheme="minorHAnsi"/>
                <w:lang w:val="en-US"/>
              </w:rPr>
              <w:t>The academy can only process</w:t>
            </w:r>
            <w:r w:rsidR="00461665" w:rsidRPr="000D7131">
              <w:rPr>
                <w:rFonts w:cstheme="minorHAnsi"/>
                <w:lang w:val="en-US"/>
              </w:rPr>
              <w:t xml:space="preserve"> applications that provide evidence</w:t>
            </w:r>
            <w:r w:rsidRPr="000D7131">
              <w:rPr>
                <w:rFonts w:cstheme="minorHAnsi"/>
                <w:lang w:val="en-US"/>
              </w:rPr>
              <w:t xml:space="preserve"> of eligibility and where copies are </w:t>
            </w:r>
            <w:r w:rsidR="00461665" w:rsidRPr="000D7131">
              <w:rPr>
                <w:rFonts w:cstheme="minorHAnsi"/>
                <w:lang w:val="en-US"/>
              </w:rPr>
              <w:t xml:space="preserve">retained for audit purposes.  Applications will be refused if the required evidence is not provided or copies </w:t>
            </w:r>
            <w:r w:rsidR="003C087F" w:rsidRPr="000D7131">
              <w:rPr>
                <w:rFonts w:cstheme="minorHAnsi"/>
                <w:lang w:val="en-US"/>
              </w:rPr>
              <w:t>cannot</w:t>
            </w:r>
            <w:r w:rsidR="00461665" w:rsidRPr="000D7131">
              <w:rPr>
                <w:rFonts w:cstheme="minorHAnsi"/>
                <w:lang w:val="en-US"/>
              </w:rPr>
              <w:t xml:space="preserve"> be retained.</w:t>
            </w:r>
          </w:p>
          <w:p w14:paraId="3B28B089" w14:textId="77777777" w:rsidR="00221CEF" w:rsidRPr="000D7131" w:rsidRDefault="00221CEF" w:rsidP="003C087F">
            <w:pPr>
              <w:pStyle w:val="ListParagraph"/>
              <w:numPr>
                <w:ilvl w:val="0"/>
                <w:numId w:val="14"/>
              </w:numPr>
              <w:spacing w:after="0" w:line="240" w:lineRule="auto"/>
              <w:jc w:val="both"/>
              <w:rPr>
                <w:rFonts w:cstheme="minorHAnsi"/>
                <w:lang w:val="en-US"/>
              </w:rPr>
            </w:pPr>
            <w:r w:rsidRPr="000D7131">
              <w:rPr>
                <w:rFonts w:cstheme="minorHAnsi"/>
                <w:lang w:val="en-US"/>
              </w:rPr>
              <w:t>To ensure that the fund reaches those students who are most in need of fin</w:t>
            </w:r>
            <w:r w:rsidR="00C6363D" w:rsidRPr="000D7131">
              <w:rPr>
                <w:rFonts w:cstheme="minorHAnsi"/>
                <w:lang w:val="en-US"/>
              </w:rPr>
              <w:t>an</w:t>
            </w:r>
            <w:r w:rsidRPr="000D7131">
              <w:rPr>
                <w:rFonts w:cstheme="minorHAnsi"/>
                <w:lang w:val="en-US"/>
              </w:rPr>
              <w:t xml:space="preserve">cial support the academy will base its need assessment on household income, </w:t>
            </w:r>
            <w:r w:rsidR="00C6363D" w:rsidRPr="009A459A">
              <w:rPr>
                <w:rFonts w:cstheme="minorHAnsi"/>
                <w:lang w:val="en-US"/>
              </w:rPr>
              <w:t>journey to learn, number of dependent children in the household</w:t>
            </w:r>
            <w:r w:rsidR="00C6363D" w:rsidRPr="000D7131">
              <w:rPr>
                <w:rFonts w:cstheme="minorHAnsi"/>
                <w:lang w:val="en-US"/>
              </w:rPr>
              <w:t xml:space="preserve"> as well as the actual participation needs of the student.</w:t>
            </w:r>
          </w:p>
          <w:p w14:paraId="23094A45" w14:textId="77777777" w:rsidR="00FA529F" w:rsidRPr="00BC34D3" w:rsidRDefault="00FA529F" w:rsidP="00FA529F">
            <w:pPr>
              <w:pStyle w:val="ListParagraph"/>
              <w:numPr>
                <w:ilvl w:val="1"/>
                <w:numId w:val="14"/>
              </w:numPr>
              <w:spacing w:after="0" w:line="240" w:lineRule="auto"/>
              <w:rPr>
                <w:rFonts w:cstheme="minorHAnsi"/>
                <w:lang w:val="en-US"/>
              </w:rPr>
            </w:pPr>
            <w:r w:rsidRPr="00BC34D3">
              <w:rPr>
                <w:rFonts w:cstheme="minorHAnsi"/>
                <w:lang w:val="en-US"/>
              </w:rPr>
              <w:t xml:space="preserve">The level of household income in 2021 is determined to </w:t>
            </w:r>
            <w:r w:rsidRPr="002F0914">
              <w:rPr>
                <w:rFonts w:cstheme="minorHAnsi"/>
                <w:lang w:val="en-US"/>
              </w:rPr>
              <w:t>be £27,000</w:t>
            </w:r>
          </w:p>
          <w:p w14:paraId="3672EC05" w14:textId="77777777" w:rsidR="00FA529F" w:rsidRPr="00BC34D3" w:rsidRDefault="00946A30" w:rsidP="003C087F">
            <w:pPr>
              <w:pStyle w:val="ListParagraph"/>
              <w:numPr>
                <w:ilvl w:val="1"/>
                <w:numId w:val="14"/>
              </w:numPr>
              <w:spacing w:after="0" w:line="240" w:lineRule="auto"/>
              <w:jc w:val="both"/>
              <w:rPr>
                <w:rFonts w:cstheme="minorHAnsi"/>
                <w:lang w:val="en-US"/>
              </w:rPr>
            </w:pPr>
            <w:r w:rsidRPr="00BC34D3">
              <w:rPr>
                <w:rFonts w:cstheme="minorHAnsi"/>
                <w:lang w:val="en-US"/>
              </w:rPr>
              <w:lastRenderedPageBreak/>
              <w:t>Please refer to the student and parent guide online to see the full range of relevant criteria and evidence required.</w:t>
            </w:r>
          </w:p>
          <w:p w14:paraId="71D54312" w14:textId="77777777" w:rsidR="005A78B9" w:rsidRPr="000D7131" w:rsidRDefault="005A78B9" w:rsidP="003C087F">
            <w:pPr>
              <w:pStyle w:val="ListParagraph"/>
              <w:numPr>
                <w:ilvl w:val="0"/>
                <w:numId w:val="14"/>
              </w:numPr>
              <w:spacing w:after="0" w:line="240" w:lineRule="auto"/>
              <w:jc w:val="both"/>
              <w:rPr>
                <w:rFonts w:cstheme="minorHAnsi"/>
                <w:lang w:val="en-US"/>
              </w:rPr>
            </w:pPr>
            <w:r w:rsidRPr="00A94CA4">
              <w:rPr>
                <w:rFonts w:cstheme="minorHAnsi"/>
                <w:lang w:val="en-US"/>
              </w:rPr>
              <w:t>During the application process the academy will apply the eligibility criteria established by the guidance documents for bursary funds and free meals.</w:t>
            </w:r>
            <w:r w:rsidRPr="000D7131">
              <w:rPr>
                <w:rFonts w:cstheme="minorHAnsi"/>
                <w:lang w:val="en-US"/>
              </w:rPr>
              <w:t xml:space="preserve">  For example;</w:t>
            </w:r>
          </w:p>
          <w:p w14:paraId="1D7AFFC7" w14:textId="77777777" w:rsidR="00C6363D" w:rsidRPr="000D7131" w:rsidRDefault="00C6363D" w:rsidP="003C087F">
            <w:pPr>
              <w:pStyle w:val="ListParagraph"/>
              <w:numPr>
                <w:ilvl w:val="1"/>
                <w:numId w:val="14"/>
              </w:numPr>
              <w:spacing w:after="0" w:line="240" w:lineRule="auto"/>
              <w:jc w:val="both"/>
              <w:rPr>
                <w:rFonts w:cstheme="minorHAnsi"/>
                <w:lang w:val="en-US"/>
              </w:rPr>
            </w:pPr>
            <w:r w:rsidRPr="000D7131">
              <w:rPr>
                <w:rFonts w:cstheme="minorHAnsi"/>
                <w:lang w:val="en-US"/>
              </w:rPr>
              <w:t>Three months of Universal Credit award notices may be required to extrapolate annual household income.</w:t>
            </w:r>
          </w:p>
          <w:p w14:paraId="12B3410C" w14:textId="77777777" w:rsidR="005A78B9" w:rsidRPr="000D7131" w:rsidRDefault="005A78B9" w:rsidP="003C087F">
            <w:pPr>
              <w:pStyle w:val="ListParagraph"/>
              <w:numPr>
                <w:ilvl w:val="1"/>
                <w:numId w:val="14"/>
              </w:numPr>
              <w:spacing w:after="0" w:line="240" w:lineRule="auto"/>
              <w:jc w:val="both"/>
              <w:rPr>
                <w:rFonts w:cstheme="minorHAnsi"/>
                <w:lang w:val="en-US"/>
              </w:rPr>
            </w:pPr>
            <w:r w:rsidRPr="000D7131">
              <w:rPr>
                <w:rFonts w:cstheme="minorHAnsi"/>
                <w:lang w:val="en-US"/>
              </w:rPr>
              <w:t>The Transitional protection arrangements used during the national roll-out of universal credit.</w:t>
            </w:r>
          </w:p>
          <w:p w14:paraId="01D33557" w14:textId="77777777" w:rsidR="00C7792D" w:rsidRPr="000D7131" w:rsidRDefault="00C7792D" w:rsidP="003C087F">
            <w:pPr>
              <w:pStyle w:val="ListParagraph"/>
              <w:numPr>
                <w:ilvl w:val="0"/>
                <w:numId w:val="14"/>
              </w:numPr>
              <w:spacing w:after="0" w:line="240" w:lineRule="auto"/>
              <w:jc w:val="both"/>
              <w:rPr>
                <w:rFonts w:cstheme="minorHAnsi"/>
                <w:lang w:val="en-US"/>
              </w:rPr>
            </w:pPr>
            <w:r w:rsidRPr="000D7131">
              <w:rPr>
                <w:rFonts w:cstheme="minorHAnsi"/>
                <w:lang w:val="en-US"/>
              </w:rPr>
              <w:t xml:space="preserve">Students and their families are required to </w:t>
            </w:r>
            <w:r w:rsidR="00A94CA4">
              <w:rPr>
                <w:rFonts w:cstheme="minorHAnsi"/>
                <w:lang w:val="en-US"/>
              </w:rPr>
              <w:t>make</w:t>
            </w:r>
            <w:r w:rsidRPr="000D7131">
              <w:rPr>
                <w:rFonts w:cstheme="minorHAnsi"/>
                <w:lang w:val="en-US"/>
              </w:rPr>
              <w:t xml:space="preserve"> a declaration</w:t>
            </w:r>
            <w:r w:rsidR="00A94CA4">
              <w:rPr>
                <w:rFonts w:cstheme="minorHAnsi"/>
                <w:lang w:val="en-US"/>
              </w:rPr>
              <w:t xml:space="preserve"> (whether paper or electronic)</w:t>
            </w:r>
            <w:r w:rsidRPr="000D7131">
              <w:rPr>
                <w:rFonts w:cstheme="minorHAnsi"/>
                <w:lang w:val="en-US"/>
              </w:rPr>
              <w:t xml:space="preserve"> that the information and evidence provided is correct and complete to the best of their knowledge and belief.  </w:t>
            </w:r>
            <w:r w:rsidR="00D30531" w:rsidRPr="000D7131">
              <w:rPr>
                <w:rFonts w:cstheme="minorHAnsi"/>
                <w:lang w:val="en-US"/>
              </w:rPr>
              <w:t>False or incorrect information that leads to incorrect/overpayment may result in overpayments being stopped and any incorrectly paid funds being recovered.  This may also cause a referral to the police with the possibility that the student or family may face prosecution.</w:t>
            </w:r>
            <w:r w:rsidR="00D30531" w:rsidRPr="000D7131">
              <w:rPr>
                <w:rStyle w:val="FootnoteReference"/>
                <w:rFonts w:cstheme="minorHAnsi"/>
                <w:lang w:val="en-US"/>
              </w:rPr>
              <w:footnoteReference w:id="10"/>
            </w:r>
          </w:p>
          <w:p w14:paraId="1EB20520" w14:textId="77777777" w:rsidR="00C7792D" w:rsidRPr="00457299" w:rsidRDefault="00C7792D" w:rsidP="003C087F">
            <w:pPr>
              <w:pStyle w:val="ListParagraph"/>
              <w:numPr>
                <w:ilvl w:val="0"/>
                <w:numId w:val="14"/>
              </w:numPr>
              <w:spacing w:after="0" w:line="240" w:lineRule="auto"/>
              <w:jc w:val="both"/>
              <w:rPr>
                <w:rFonts w:cstheme="minorHAnsi"/>
                <w:lang w:val="en-US"/>
              </w:rPr>
            </w:pPr>
            <w:r w:rsidRPr="00457299">
              <w:rPr>
                <w:rFonts w:cstheme="minorHAnsi"/>
                <w:lang w:val="en-US"/>
              </w:rPr>
              <w:t xml:space="preserve">All evidence and data received and retained for audit purposes will conform to the Trust GDPR policy and Academy </w:t>
            </w:r>
            <w:r w:rsidR="00FA3D60" w:rsidRPr="00457299">
              <w:rPr>
                <w:rFonts w:cstheme="minorHAnsi"/>
                <w:lang w:val="en-US"/>
              </w:rPr>
              <w:t>procedures</w:t>
            </w:r>
            <w:r w:rsidRPr="00457299">
              <w:rPr>
                <w:rFonts w:cstheme="minorHAnsi"/>
                <w:lang w:val="en-US"/>
              </w:rPr>
              <w:t>.</w:t>
            </w:r>
          </w:p>
          <w:p w14:paraId="2E7B7126" w14:textId="77777777" w:rsidR="00E017CA" w:rsidRPr="000D7131" w:rsidRDefault="00E017CA" w:rsidP="00E017CA">
            <w:pPr>
              <w:rPr>
                <w:rFonts w:asciiTheme="minorHAnsi" w:hAnsiTheme="minorHAnsi" w:cstheme="minorHAnsi"/>
                <w:b/>
                <w:sz w:val="22"/>
                <w:szCs w:val="22"/>
                <w:lang w:val="en-US"/>
              </w:rPr>
            </w:pPr>
          </w:p>
          <w:p w14:paraId="50B08516" w14:textId="77777777" w:rsidR="00CA76EB" w:rsidRDefault="00FE7989" w:rsidP="00E017CA">
            <w:pPr>
              <w:rPr>
                <w:rFonts w:asciiTheme="minorHAnsi" w:hAnsiTheme="minorHAnsi" w:cstheme="minorHAnsi"/>
                <w:b/>
                <w:sz w:val="22"/>
                <w:szCs w:val="22"/>
                <w:lang w:val="en-US"/>
              </w:rPr>
            </w:pPr>
            <w:r w:rsidRPr="000D7131">
              <w:rPr>
                <w:rFonts w:asciiTheme="minorHAnsi" w:hAnsiTheme="minorHAnsi" w:cstheme="minorHAnsi"/>
                <w:b/>
                <w:sz w:val="22"/>
                <w:szCs w:val="22"/>
                <w:lang w:val="en-US"/>
              </w:rPr>
              <w:t>Awards</w:t>
            </w:r>
          </w:p>
          <w:p w14:paraId="1EEE855F" w14:textId="77777777" w:rsidR="00A94CA4" w:rsidRPr="000D7131" w:rsidRDefault="00A94CA4" w:rsidP="003C087F">
            <w:pPr>
              <w:jc w:val="both"/>
              <w:rPr>
                <w:rFonts w:asciiTheme="minorHAnsi" w:hAnsiTheme="minorHAnsi" w:cstheme="minorHAnsi"/>
                <w:b/>
                <w:sz w:val="22"/>
                <w:szCs w:val="22"/>
                <w:lang w:val="en-US"/>
              </w:rPr>
            </w:pPr>
          </w:p>
          <w:p w14:paraId="3F7F41F6" w14:textId="77777777" w:rsidR="00FE7989" w:rsidRPr="000D7131" w:rsidRDefault="00FE7989" w:rsidP="003C087F">
            <w:pPr>
              <w:jc w:val="both"/>
              <w:rPr>
                <w:rFonts w:asciiTheme="minorHAnsi" w:hAnsiTheme="minorHAnsi" w:cstheme="minorHAnsi"/>
                <w:sz w:val="22"/>
                <w:szCs w:val="22"/>
                <w:lang w:val="en-US"/>
              </w:rPr>
            </w:pPr>
            <w:r w:rsidRPr="002F0914">
              <w:rPr>
                <w:rFonts w:asciiTheme="minorHAnsi" w:hAnsiTheme="minorHAnsi" w:cstheme="minorHAnsi"/>
                <w:sz w:val="22"/>
                <w:szCs w:val="22"/>
                <w:lang w:val="en-US"/>
              </w:rPr>
              <w:t>Eligibility for a bursary does not automatically mean that funding will be given, it is possible that there will be no award or a limited award.  This</w:t>
            </w:r>
            <w:r w:rsidRPr="00457299">
              <w:rPr>
                <w:rFonts w:asciiTheme="minorHAnsi" w:hAnsiTheme="minorHAnsi" w:cstheme="minorHAnsi"/>
                <w:sz w:val="22"/>
                <w:szCs w:val="22"/>
                <w:lang w:val="en-US"/>
              </w:rPr>
              <w:t xml:space="preserve"> may be because there is no financial need, the need is already being met or in the case of an in-year application the funds are not available because they are allocated on a first come first served basis.</w:t>
            </w:r>
          </w:p>
          <w:p w14:paraId="101259E7" w14:textId="77777777" w:rsidR="006C0CE4" w:rsidRPr="000D7131" w:rsidRDefault="006C0CE4" w:rsidP="003C087F">
            <w:pPr>
              <w:jc w:val="both"/>
              <w:rPr>
                <w:rFonts w:asciiTheme="minorHAnsi" w:hAnsiTheme="minorHAnsi" w:cstheme="minorHAnsi"/>
                <w:sz w:val="22"/>
                <w:szCs w:val="22"/>
                <w:lang w:val="en-US"/>
              </w:rPr>
            </w:pPr>
          </w:p>
          <w:p w14:paraId="2B0FBD19" w14:textId="77777777" w:rsidR="006C0CE4" w:rsidRPr="000D7131" w:rsidRDefault="006C0CE4" w:rsidP="003C087F">
            <w:pPr>
              <w:jc w:val="both"/>
              <w:rPr>
                <w:rFonts w:asciiTheme="minorHAnsi" w:hAnsiTheme="minorHAnsi" w:cstheme="minorHAnsi"/>
                <w:sz w:val="22"/>
                <w:szCs w:val="22"/>
                <w:lang w:val="en-US"/>
              </w:rPr>
            </w:pPr>
            <w:r w:rsidRPr="000D7131">
              <w:rPr>
                <w:rFonts w:asciiTheme="minorHAnsi" w:hAnsiTheme="minorHAnsi" w:cstheme="minorHAnsi"/>
                <w:sz w:val="22"/>
                <w:szCs w:val="22"/>
                <w:lang w:val="en-US"/>
              </w:rPr>
              <w:t>Decisions about which students receive an award and how much bursary they receive must be based on an individual assessment of each student’s individual circumstances and their actual financial need.  There must not be blanket or flat rate/fixed rate payments to all students.</w:t>
            </w:r>
            <w:r w:rsidR="00221CEF" w:rsidRPr="000D7131">
              <w:rPr>
                <w:rFonts w:asciiTheme="minorHAnsi" w:hAnsiTheme="minorHAnsi" w:cstheme="minorHAnsi"/>
                <w:sz w:val="22"/>
                <w:szCs w:val="22"/>
                <w:lang w:val="en-US"/>
              </w:rPr>
              <w:t xml:space="preserve">  A discretionary bursary may be larger than a vulnerable group award.</w:t>
            </w:r>
          </w:p>
          <w:p w14:paraId="15D63B2E" w14:textId="77777777" w:rsidR="006C0CE4" w:rsidRPr="000D7131" w:rsidRDefault="006C0CE4" w:rsidP="003C087F">
            <w:pPr>
              <w:jc w:val="both"/>
              <w:rPr>
                <w:rFonts w:asciiTheme="minorHAnsi" w:hAnsiTheme="minorHAnsi" w:cstheme="minorHAnsi"/>
                <w:sz w:val="22"/>
                <w:szCs w:val="22"/>
                <w:lang w:val="en-US"/>
              </w:rPr>
            </w:pPr>
          </w:p>
          <w:p w14:paraId="56A9180B" w14:textId="77777777" w:rsidR="00C6363D" w:rsidRPr="000D7131" w:rsidRDefault="00C6363D" w:rsidP="003C087F">
            <w:pPr>
              <w:jc w:val="both"/>
              <w:rPr>
                <w:rFonts w:asciiTheme="minorHAnsi" w:hAnsiTheme="minorHAnsi" w:cstheme="minorHAnsi"/>
                <w:sz w:val="22"/>
                <w:szCs w:val="22"/>
                <w:lang w:val="en-US"/>
              </w:rPr>
            </w:pPr>
            <w:r w:rsidRPr="00366702">
              <w:rPr>
                <w:rFonts w:asciiTheme="minorHAnsi" w:hAnsiTheme="minorHAnsi" w:cstheme="minorHAnsi"/>
                <w:sz w:val="22"/>
                <w:szCs w:val="22"/>
                <w:lang w:val="en-US"/>
              </w:rPr>
              <w:t>The Bursary award may vary through the academic year if the individual specific need changes.  For example, a student may travel further to an industry placement and therefore require additional funds for the journey and meals.</w:t>
            </w:r>
          </w:p>
          <w:p w14:paraId="300C5103" w14:textId="77777777" w:rsidR="00C6363D" w:rsidRPr="000D7131" w:rsidRDefault="00C6363D" w:rsidP="003C087F">
            <w:pPr>
              <w:jc w:val="both"/>
              <w:rPr>
                <w:rFonts w:asciiTheme="minorHAnsi" w:hAnsiTheme="minorHAnsi" w:cstheme="minorHAnsi"/>
                <w:sz w:val="22"/>
                <w:szCs w:val="22"/>
                <w:lang w:val="en-US"/>
              </w:rPr>
            </w:pPr>
          </w:p>
          <w:p w14:paraId="638CB2F5" w14:textId="77777777" w:rsidR="006C0CE4" w:rsidRPr="000D7131" w:rsidRDefault="006C0CE4" w:rsidP="003C087F">
            <w:pPr>
              <w:jc w:val="both"/>
              <w:rPr>
                <w:rFonts w:asciiTheme="minorHAnsi" w:hAnsiTheme="minorHAnsi" w:cstheme="minorHAnsi"/>
                <w:sz w:val="22"/>
                <w:szCs w:val="22"/>
                <w:lang w:val="en-US"/>
              </w:rPr>
            </w:pPr>
            <w:r w:rsidRPr="000D7131">
              <w:rPr>
                <w:rFonts w:asciiTheme="minorHAnsi" w:hAnsiTheme="minorHAnsi" w:cstheme="minorHAnsi"/>
                <w:sz w:val="22"/>
                <w:szCs w:val="22"/>
                <w:lang w:val="en-US"/>
              </w:rPr>
              <w:t>The academy must manage the number and size of awards to keep within their budget.  A small emergency fund may also be retained to support students who face exceptional circumstances.</w:t>
            </w:r>
          </w:p>
          <w:p w14:paraId="27BA5D29" w14:textId="77777777" w:rsidR="006C0CE4" w:rsidRPr="000D7131" w:rsidRDefault="006C0CE4" w:rsidP="003C087F">
            <w:pPr>
              <w:jc w:val="both"/>
              <w:rPr>
                <w:rFonts w:asciiTheme="minorHAnsi" w:hAnsiTheme="minorHAnsi" w:cstheme="minorHAnsi"/>
                <w:sz w:val="22"/>
                <w:szCs w:val="22"/>
                <w:lang w:val="en-US"/>
              </w:rPr>
            </w:pPr>
          </w:p>
          <w:p w14:paraId="3394C6E9" w14:textId="77777777" w:rsidR="00EB2CD0" w:rsidRPr="000D7131" w:rsidRDefault="00EB2CD0" w:rsidP="003C087F">
            <w:pPr>
              <w:autoSpaceDE w:val="0"/>
              <w:autoSpaceDN w:val="0"/>
              <w:adjustRightInd w:val="0"/>
              <w:jc w:val="both"/>
              <w:rPr>
                <w:rFonts w:asciiTheme="minorHAnsi" w:hAnsiTheme="minorHAnsi" w:cstheme="minorHAnsi"/>
                <w:sz w:val="22"/>
                <w:szCs w:val="22"/>
                <w:lang w:eastAsia="en-GB"/>
              </w:rPr>
            </w:pPr>
            <w:r w:rsidRPr="000D7131">
              <w:rPr>
                <w:rFonts w:asciiTheme="minorHAnsi" w:hAnsiTheme="minorHAnsi" w:cstheme="minorHAnsi"/>
                <w:sz w:val="22"/>
                <w:szCs w:val="22"/>
                <w:lang w:eastAsia="en-GB"/>
              </w:rPr>
              <w:t xml:space="preserve">The award is not tied to attendance, achievement or behaviour and therefore can’t be used to </w:t>
            </w:r>
            <w:r w:rsidRPr="000D7131">
              <w:rPr>
                <w:rFonts w:asciiTheme="minorHAnsi" w:hAnsiTheme="minorHAnsi" w:cstheme="minorHAnsi"/>
                <w:b/>
                <w:sz w:val="22"/>
                <w:szCs w:val="22"/>
                <w:lang w:eastAsia="en-GB"/>
              </w:rPr>
              <w:t>incentivise</w:t>
            </w:r>
            <w:r w:rsidR="00484C9D" w:rsidRPr="000D7131">
              <w:rPr>
                <w:rStyle w:val="FootnoteReference"/>
                <w:rFonts w:asciiTheme="minorHAnsi" w:hAnsiTheme="minorHAnsi" w:cstheme="minorHAnsi"/>
                <w:sz w:val="22"/>
                <w:szCs w:val="22"/>
                <w:lang w:eastAsia="en-GB"/>
              </w:rPr>
              <w:footnoteReference w:id="11"/>
            </w:r>
            <w:r w:rsidR="00484C9D" w:rsidRPr="000D7131">
              <w:rPr>
                <w:rFonts w:asciiTheme="minorHAnsi" w:hAnsiTheme="minorHAnsi" w:cstheme="minorHAnsi"/>
                <w:sz w:val="22"/>
                <w:szCs w:val="22"/>
                <w:lang w:eastAsia="en-GB"/>
              </w:rPr>
              <w:t xml:space="preserve"> </w:t>
            </w:r>
            <w:r w:rsidRPr="000D7131">
              <w:rPr>
                <w:rFonts w:asciiTheme="minorHAnsi" w:hAnsiTheme="minorHAnsi" w:cstheme="minorHAnsi"/>
                <w:sz w:val="22"/>
                <w:szCs w:val="22"/>
                <w:lang w:eastAsia="en-GB"/>
              </w:rPr>
              <w:t>students.</w:t>
            </w:r>
            <w:r w:rsidR="00484C9D" w:rsidRPr="000D7131">
              <w:rPr>
                <w:rFonts w:asciiTheme="minorHAnsi" w:hAnsiTheme="minorHAnsi" w:cstheme="minorHAnsi"/>
                <w:sz w:val="22"/>
                <w:szCs w:val="22"/>
                <w:lang w:eastAsia="en-GB"/>
              </w:rPr>
              <w:t xml:space="preserve">  However, receipt of the award is conditional upon meeting the minimum expected standards of attendance and behaviour</w:t>
            </w:r>
            <w:r w:rsidR="00484C9D" w:rsidRPr="000D7131">
              <w:rPr>
                <w:rStyle w:val="FootnoteReference"/>
                <w:rFonts w:asciiTheme="minorHAnsi" w:hAnsiTheme="minorHAnsi" w:cstheme="minorHAnsi"/>
                <w:sz w:val="22"/>
                <w:szCs w:val="22"/>
                <w:lang w:eastAsia="en-GB"/>
              </w:rPr>
              <w:footnoteReference w:id="12"/>
            </w:r>
            <w:r w:rsidR="00484C9D" w:rsidRPr="000D7131">
              <w:rPr>
                <w:rFonts w:asciiTheme="minorHAnsi" w:hAnsiTheme="minorHAnsi" w:cstheme="minorHAnsi"/>
                <w:sz w:val="22"/>
                <w:szCs w:val="22"/>
                <w:lang w:eastAsia="en-GB"/>
              </w:rPr>
              <w:t xml:space="preserve">.  </w:t>
            </w:r>
            <w:r w:rsidR="00484C9D" w:rsidRPr="002F0914">
              <w:rPr>
                <w:rFonts w:asciiTheme="minorHAnsi" w:hAnsiTheme="minorHAnsi" w:cstheme="minorHAnsi"/>
                <w:sz w:val="22"/>
                <w:szCs w:val="22"/>
                <w:lang w:eastAsia="en-GB"/>
              </w:rPr>
              <w:t>The minimum expected standard of attendance is 90%, and below this minimum the award may be suspended or withdrawn.</w:t>
            </w:r>
            <w:r w:rsidR="00484C9D" w:rsidRPr="000D7131">
              <w:rPr>
                <w:rFonts w:asciiTheme="minorHAnsi" w:hAnsiTheme="minorHAnsi" w:cstheme="minorHAnsi"/>
                <w:sz w:val="22"/>
                <w:szCs w:val="22"/>
                <w:lang w:eastAsia="en-GB"/>
              </w:rPr>
              <w:t xml:space="preserve"> </w:t>
            </w:r>
            <w:r w:rsidR="00AB10DD" w:rsidRPr="000D7131">
              <w:rPr>
                <w:rFonts w:asciiTheme="minorHAnsi" w:hAnsiTheme="minorHAnsi" w:cstheme="minorHAnsi"/>
                <w:sz w:val="22"/>
                <w:szCs w:val="22"/>
                <w:lang w:eastAsia="en-GB"/>
              </w:rPr>
              <w:t xml:space="preserve"> In considering suspending the award the academy must first consider the student’s individual circumstances and the purpose of the award to support attendance.</w:t>
            </w:r>
            <w:r w:rsidRPr="000D7131">
              <w:rPr>
                <w:rFonts w:asciiTheme="minorHAnsi" w:hAnsiTheme="minorHAnsi" w:cstheme="minorHAnsi"/>
                <w:sz w:val="22"/>
                <w:szCs w:val="22"/>
                <w:lang w:eastAsia="en-GB"/>
              </w:rPr>
              <w:t xml:space="preserve">  When students are removed from the college roll they are no longer eligible for the award and this will cease.</w:t>
            </w:r>
            <w:r w:rsidR="00AB10DD" w:rsidRPr="000D7131">
              <w:rPr>
                <w:rFonts w:asciiTheme="minorHAnsi" w:hAnsiTheme="minorHAnsi" w:cstheme="minorHAnsi"/>
                <w:sz w:val="22"/>
                <w:szCs w:val="22"/>
                <w:lang w:eastAsia="en-GB"/>
              </w:rPr>
              <w:t xml:space="preserve">  The academy should also stop payments following a period of absence of 4 continuous weeks.</w:t>
            </w:r>
          </w:p>
          <w:p w14:paraId="6D9FAA64" w14:textId="77777777" w:rsidR="00E017CA" w:rsidRPr="000D7131" w:rsidRDefault="00E017CA" w:rsidP="003C087F">
            <w:pPr>
              <w:autoSpaceDE w:val="0"/>
              <w:autoSpaceDN w:val="0"/>
              <w:adjustRightInd w:val="0"/>
              <w:jc w:val="both"/>
              <w:rPr>
                <w:rFonts w:asciiTheme="minorHAnsi" w:hAnsiTheme="minorHAnsi" w:cstheme="minorHAnsi"/>
                <w:sz w:val="22"/>
                <w:szCs w:val="22"/>
                <w:lang w:eastAsia="en-GB"/>
              </w:rPr>
            </w:pPr>
          </w:p>
          <w:p w14:paraId="21589EB0" w14:textId="77777777" w:rsidR="00D30531" w:rsidRPr="000D7131" w:rsidRDefault="00D30531" w:rsidP="003C087F">
            <w:pPr>
              <w:autoSpaceDE w:val="0"/>
              <w:autoSpaceDN w:val="0"/>
              <w:adjustRightInd w:val="0"/>
              <w:jc w:val="both"/>
              <w:rPr>
                <w:rFonts w:asciiTheme="minorHAnsi" w:hAnsiTheme="minorHAnsi" w:cstheme="minorHAnsi"/>
                <w:sz w:val="22"/>
                <w:szCs w:val="22"/>
                <w:lang w:eastAsia="en-GB"/>
              </w:rPr>
            </w:pPr>
            <w:r w:rsidRPr="000D7131">
              <w:rPr>
                <w:rFonts w:asciiTheme="minorHAnsi" w:hAnsiTheme="minorHAnsi" w:cstheme="minorHAnsi"/>
                <w:sz w:val="22"/>
                <w:szCs w:val="22"/>
                <w:lang w:eastAsia="en-GB"/>
              </w:rPr>
              <w:t xml:space="preserve">Specialist equipment purchased with these funds remains the property of the College and should be returned in good condition at the end of the academic year. Other equipment, tools or protective </w:t>
            </w:r>
            <w:r w:rsidRPr="000D7131">
              <w:rPr>
                <w:rFonts w:asciiTheme="minorHAnsi" w:hAnsiTheme="minorHAnsi" w:cstheme="minorHAnsi"/>
                <w:sz w:val="22"/>
                <w:szCs w:val="22"/>
                <w:lang w:eastAsia="en-GB"/>
              </w:rPr>
              <w:lastRenderedPageBreak/>
              <w:t>clothing which may be reusable at a later date should be returned in good condition. The College will give practical consideration to such factors as hygiene, health and safety and wear and tear.</w:t>
            </w:r>
          </w:p>
          <w:p w14:paraId="5FCC9031" w14:textId="77777777" w:rsidR="00E017CA" w:rsidRPr="000D7131" w:rsidRDefault="00E017CA" w:rsidP="003C087F">
            <w:pPr>
              <w:autoSpaceDE w:val="0"/>
              <w:autoSpaceDN w:val="0"/>
              <w:adjustRightInd w:val="0"/>
              <w:jc w:val="both"/>
              <w:rPr>
                <w:rFonts w:asciiTheme="minorHAnsi" w:hAnsiTheme="minorHAnsi" w:cstheme="minorHAnsi"/>
                <w:sz w:val="22"/>
                <w:szCs w:val="22"/>
                <w:lang w:eastAsia="en-GB"/>
              </w:rPr>
            </w:pPr>
          </w:p>
          <w:p w14:paraId="45C481DD" w14:textId="77777777" w:rsidR="006C0CE4" w:rsidRPr="000D7131" w:rsidRDefault="00F907E4" w:rsidP="003C087F">
            <w:pPr>
              <w:jc w:val="both"/>
              <w:rPr>
                <w:rFonts w:asciiTheme="minorHAnsi" w:hAnsiTheme="minorHAnsi" w:cstheme="minorHAnsi"/>
                <w:sz w:val="22"/>
                <w:szCs w:val="22"/>
                <w:lang w:val="en-US"/>
              </w:rPr>
            </w:pPr>
            <w:r w:rsidRPr="00453952">
              <w:rPr>
                <w:rFonts w:asciiTheme="minorHAnsi" w:hAnsiTheme="minorHAnsi" w:cstheme="minorHAnsi"/>
                <w:sz w:val="22"/>
                <w:szCs w:val="22"/>
                <w:lang w:val="en-US"/>
              </w:rPr>
              <w:t>The ESFA prefers awards to be made ‘in-kind rather than cash as far as possible’</w:t>
            </w:r>
            <w:r w:rsidRPr="00453952">
              <w:rPr>
                <w:rStyle w:val="FootnoteReference"/>
                <w:rFonts w:asciiTheme="minorHAnsi" w:hAnsiTheme="minorHAnsi" w:cstheme="minorHAnsi"/>
                <w:sz w:val="22"/>
                <w:szCs w:val="22"/>
                <w:lang w:val="en-US"/>
              </w:rPr>
              <w:footnoteReference w:id="13"/>
            </w:r>
            <w:r w:rsidRPr="00453952">
              <w:rPr>
                <w:rFonts w:asciiTheme="minorHAnsi" w:hAnsiTheme="minorHAnsi" w:cstheme="minorHAnsi"/>
                <w:sz w:val="22"/>
                <w:szCs w:val="22"/>
                <w:lang w:val="en-US"/>
              </w:rPr>
              <w:t>.  Where awards are made as payments they will be made to the student’s bank account, further information on basic bank accounts can be found at the British Bankers’ Association (</w:t>
            </w:r>
            <w:hyperlink r:id="rId14" w:history="1">
              <w:r w:rsidRPr="00453952">
                <w:rPr>
                  <w:rStyle w:val="Hyperlink"/>
                  <w:rFonts w:asciiTheme="minorHAnsi" w:hAnsiTheme="minorHAnsi" w:cstheme="minorHAnsi"/>
                  <w:sz w:val="22"/>
                  <w:szCs w:val="22"/>
                  <w:lang w:val="en-US"/>
                </w:rPr>
                <w:t>www.bba.org.uk</w:t>
              </w:r>
            </w:hyperlink>
            <w:r w:rsidRPr="00453952">
              <w:rPr>
                <w:rFonts w:asciiTheme="minorHAnsi" w:hAnsiTheme="minorHAnsi" w:cstheme="minorHAnsi"/>
                <w:sz w:val="22"/>
                <w:szCs w:val="22"/>
                <w:lang w:val="en-US"/>
              </w:rPr>
              <w:t xml:space="preserve">). The funds must only be spent on the support that has been identified as necessary for them to participate in education.  </w:t>
            </w:r>
          </w:p>
          <w:p w14:paraId="1EB6E1DD" w14:textId="77777777" w:rsidR="00E90D96" w:rsidRPr="000D7131" w:rsidRDefault="00E90D96" w:rsidP="003C087F">
            <w:pPr>
              <w:jc w:val="both"/>
              <w:rPr>
                <w:rFonts w:asciiTheme="minorHAnsi" w:hAnsiTheme="minorHAnsi" w:cstheme="minorHAnsi"/>
                <w:sz w:val="22"/>
                <w:szCs w:val="22"/>
                <w:lang w:val="en-US"/>
              </w:rPr>
            </w:pPr>
          </w:p>
          <w:p w14:paraId="6903A84F" w14:textId="77777777" w:rsidR="00CA76EB" w:rsidRPr="000D7131" w:rsidRDefault="00CA76EB" w:rsidP="003C087F">
            <w:pPr>
              <w:jc w:val="both"/>
              <w:rPr>
                <w:rFonts w:asciiTheme="minorHAnsi" w:hAnsiTheme="minorHAnsi" w:cstheme="minorHAnsi"/>
                <w:b/>
                <w:sz w:val="22"/>
                <w:szCs w:val="22"/>
                <w:lang w:val="en-US"/>
              </w:rPr>
            </w:pPr>
            <w:r w:rsidRPr="000D7131">
              <w:rPr>
                <w:rFonts w:asciiTheme="minorHAnsi" w:hAnsiTheme="minorHAnsi" w:cstheme="minorHAnsi"/>
                <w:b/>
                <w:sz w:val="22"/>
                <w:szCs w:val="22"/>
                <w:lang w:val="en-US"/>
              </w:rPr>
              <w:t>Appeals</w:t>
            </w:r>
          </w:p>
          <w:p w14:paraId="4C5CD469" w14:textId="77777777" w:rsidR="00CA76EB" w:rsidRPr="000D7131" w:rsidRDefault="00CA76EB" w:rsidP="003C087F">
            <w:pPr>
              <w:jc w:val="both"/>
              <w:rPr>
                <w:rFonts w:asciiTheme="minorHAnsi" w:hAnsiTheme="minorHAnsi" w:cstheme="minorHAnsi"/>
                <w:b/>
                <w:sz w:val="22"/>
                <w:szCs w:val="22"/>
                <w:lang w:val="en-US"/>
              </w:rPr>
            </w:pPr>
          </w:p>
          <w:p w14:paraId="204DA7B3" w14:textId="77777777" w:rsidR="00CA76EB" w:rsidRPr="000D7131" w:rsidRDefault="0084214B" w:rsidP="003C087F">
            <w:pPr>
              <w:jc w:val="both"/>
              <w:rPr>
                <w:rFonts w:asciiTheme="minorHAnsi" w:hAnsiTheme="minorHAnsi" w:cstheme="minorHAnsi"/>
                <w:sz w:val="22"/>
                <w:szCs w:val="22"/>
                <w:lang w:val="en-US"/>
              </w:rPr>
            </w:pPr>
            <w:r w:rsidRPr="000D7131">
              <w:rPr>
                <w:rFonts w:asciiTheme="minorHAnsi" w:hAnsiTheme="minorHAnsi" w:cstheme="minorHAnsi"/>
                <w:sz w:val="22"/>
                <w:szCs w:val="22"/>
                <w:lang w:val="en-US"/>
              </w:rPr>
              <w:t xml:space="preserve">If a student or family believes that the academy has not followed the policy </w:t>
            </w:r>
            <w:r w:rsidR="00AB10DD" w:rsidRPr="000D7131">
              <w:rPr>
                <w:rFonts w:asciiTheme="minorHAnsi" w:hAnsiTheme="minorHAnsi" w:cstheme="minorHAnsi"/>
                <w:sz w:val="22"/>
                <w:szCs w:val="22"/>
                <w:lang w:val="en-US"/>
              </w:rPr>
              <w:t xml:space="preserve">in processing an application, </w:t>
            </w:r>
            <w:r w:rsidRPr="000D7131">
              <w:rPr>
                <w:rFonts w:asciiTheme="minorHAnsi" w:hAnsiTheme="minorHAnsi" w:cstheme="minorHAnsi"/>
                <w:sz w:val="22"/>
                <w:szCs w:val="22"/>
                <w:lang w:val="en-US"/>
              </w:rPr>
              <w:t xml:space="preserve">determining an award </w:t>
            </w:r>
            <w:r w:rsidR="00AB10DD" w:rsidRPr="000D7131">
              <w:rPr>
                <w:rFonts w:asciiTheme="minorHAnsi" w:hAnsiTheme="minorHAnsi" w:cstheme="minorHAnsi"/>
                <w:sz w:val="22"/>
                <w:szCs w:val="22"/>
                <w:lang w:val="en-US"/>
              </w:rPr>
              <w:t xml:space="preserve">or processing an award </w:t>
            </w:r>
            <w:r w:rsidRPr="000D7131">
              <w:rPr>
                <w:rFonts w:asciiTheme="minorHAnsi" w:hAnsiTheme="minorHAnsi" w:cstheme="minorHAnsi"/>
                <w:sz w:val="22"/>
                <w:szCs w:val="22"/>
                <w:lang w:val="en-US"/>
              </w:rPr>
              <w:t>they have the right to complain to the academy.  The complaint would be conducted using the academy complaint policy.</w:t>
            </w:r>
            <w:r w:rsidR="00AB10DD" w:rsidRPr="000D7131">
              <w:rPr>
                <w:rFonts w:asciiTheme="minorHAnsi" w:hAnsiTheme="minorHAnsi" w:cstheme="minorHAnsi"/>
                <w:sz w:val="22"/>
                <w:szCs w:val="22"/>
                <w:lang w:val="en-US"/>
              </w:rPr>
              <w:t xml:space="preserve">  As the awarding authority the academy is the final authority for the complaint, there is no right to complain to the ESFA.</w:t>
            </w:r>
          </w:p>
          <w:p w14:paraId="5E27328D" w14:textId="77777777" w:rsidR="00E017CA" w:rsidRDefault="00E017CA" w:rsidP="003C087F">
            <w:pPr>
              <w:autoSpaceDE w:val="0"/>
              <w:autoSpaceDN w:val="0"/>
              <w:adjustRightInd w:val="0"/>
              <w:jc w:val="both"/>
              <w:rPr>
                <w:rFonts w:asciiTheme="minorHAnsi" w:hAnsiTheme="minorHAnsi" w:cstheme="minorHAnsi"/>
                <w:b/>
                <w:sz w:val="22"/>
                <w:szCs w:val="22"/>
                <w:lang w:eastAsia="en-GB"/>
              </w:rPr>
            </w:pPr>
          </w:p>
          <w:p w14:paraId="20CB31BA" w14:textId="77777777" w:rsidR="00457299" w:rsidRPr="00457299" w:rsidRDefault="00457299" w:rsidP="003C087F">
            <w:pPr>
              <w:autoSpaceDE w:val="0"/>
              <w:autoSpaceDN w:val="0"/>
              <w:adjustRightInd w:val="0"/>
              <w:jc w:val="both"/>
              <w:rPr>
                <w:rFonts w:asciiTheme="minorHAnsi" w:hAnsiTheme="minorHAnsi" w:cstheme="minorHAnsi"/>
                <w:sz w:val="22"/>
                <w:szCs w:val="22"/>
                <w:lang w:eastAsia="en-GB"/>
              </w:rPr>
            </w:pPr>
            <w:r w:rsidRPr="00457299">
              <w:rPr>
                <w:rFonts w:asciiTheme="minorHAnsi" w:hAnsiTheme="minorHAnsi" w:cstheme="minorHAnsi"/>
                <w:sz w:val="22"/>
                <w:szCs w:val="22"/>
                <w:lang w:eastAsia="en-GB"/>
              </w:rPr>
              <w:t>The complaints policy and associated procedures are available on the academy website.</w:t>
            </w:r>
            <w:r>
              <w:rPr>
                <w:rFonts w:asciiTheme="minorHAnsi" w:hAnsiTheme="minorHAnsi" w:cstheme="minorHAnsi"/>
                <w:sz w:val="22"/>
                <w:szCs w:val="22"/>
                <w:lang w:eastAsia="en-GB"/>
              </w:rPr>
              <w:t xml:space="preserve">  They are also available in accessible formats and through alternative means of communication upon request.</w:t>
            </w:r>
          </w:p>
          <w:p w14:paraId="2E3F72A1" w14:textId="77777777" w:rsidR="00FA3D60" w:rsidRPr="000D7131" w:rsidRDefault="00FA3D60" w:rsidP="003C087F">
            <w:pPr>
              <w:autoSpaceDE w:val="0"/>
              <w:autoSpaceDN w:val="0"/>
              <w:adjustRightInd w:val="0"/>
              <w:jc w:val="both"/>
              <w:rPr>
                <w:rFonts w:asciiTheme="minorHAnsi" w:hAnsiTheme="minorHAnsi" w:cstheme="minorHAnsi"/>
                <w:b/>
                <w:sz w:val="22"/>
                <w:szCs w:val="22"/>
                <w:lang w:eastAsia="en-GB"/>
              </w:rPr>
            </w:pPr>
          </w:p>
          <w:p w14:paraId="531D5DF5" w14:textId="77777777" w:rsidR="009930C7" w:rsidRPr="000D7131" w:rsidRDefault="009930C7" w:rsidP="003C087F">
            <w:pPr>
              <w:autoSpaceDE w:val="0"/>
              <w:autoSpaceDN w:val="0"/>
              <w:adjustRightInd w:val="0"/>
              <w:jc w:val="both"/>
              <w:rPr>
                <w:rFonts w:asciiTheme="minorHAnsi" w:hAnsiTheme="minorHAnsi" w:cstheme="minorHAnsi"/>
                <w:b/>
                <w:sz w:val="22"/>
                <w:szCs w:val="22"/>
                <w:lang w:eastAsia="en-GB"/>
              </w:rPr>
            </w:pPr>
            <w:r w:rsidRPr="000D7131">
              <w:rPr>
                <w:rFonts w:asciiTheme="minorHAnsi" w:hAnsiTheme="minorHAnsi" w:cstheme="minorHAnsi"/>
                <w:b/>
                <w:sz w:val="22"/>
                <w:szCs w:val="22"/>
                <w:lang w:eastAsia="en-GB"/>
              </w:rPr>
              <w:t>Administration notes</w:t>
            </w:r>
            <w:r w:rsidR="00E94145" w:rsidRPr="000D7131">
              <w:rPr>
                <w:rFonts w:asciiTheme="minorHAnsi" w:hAnsiTheme="minorHAnsi" w:cstheme="minorHAnsi"/>
                <w:b/>
                <w:sz w:val="22"/>
                <w:szCs w:val="22"/>
                <w:lang w:eastAsia="en-GB"/>
              </w:rPr>
              <w:t xml:space="preserve"> and Audit requirements</w:t>
            </w:r>
          </w:p>
          <w:p w14:paraId="28AA672F" w14:textId="77777777" w:rsidR="00834C74" w:rsidRPr="000D7131" w:rsidRDefault="009930C7" w:rsidP="003C087F">
            <w:pPr>
              <w:jc w:val="both"/>
              <w:rPr>
                <w:rFonts w:asciiTheme="minorHAnsi" w:hAnsiTheme="minorHAnsi" w:cstheme="minorHAnsi"/>
                <w:sz w:val="22"/>
                <w:szCs w:val="22"/>
                <w:lang w:val="en-US"/>
              </w:rPr>
            </w:pPr>
            <w:r w:rsidRPr="000D7131">
              <w:rPr>
                <w:rFonts w:asciiTheme="minorHAnsi" w:hAnsiTheme="minorHAnsi" w:cstheme="minorHAnsi"/>
                <w:sz w:val="22"/>
                <w:szCs w:val="22"/>
                <w:lang w:val="en-US"/>
              </w:rPr>
              <w:t xml:space="preserve">The academy will use 5% of the bursary funding received (vulnerable group, discretionary and free school meals) to off-set the costs of administration. </w:t>
            </w:r>
            <w:r w:rsidR="00834C74" w:rsidRPr="000D7131">
              <w:rPr>
                <w:rFonts w:asciiTheme="minorHAnsi" w:hAnsiTheme="minorHAnsi" w:cstheme="minorHAnsi"/>
                <w:sz w:val="22"/>
                <w:szCs w:val="22"/>
                <w:lang w:val="en-US"/>
              </w:rPr>
              <w:t xml:space="preserve"> This will be administered by the finance team at the start of the academic year.</w:t>
            </w:r>
          </w:p>
          <w:p w14:paraId="2C452E1F" w14:textId="77777777" w:rsidR="009930C7" w:rsidRPr="000D7131" w:rsidRDefault="009930C7" w:rsidP="003C087F">
            <w:pPr>
              <w:jc w:val="both"/>
              <w:rPr>
                <w:rFonts w:asciiTheme="minorHAnsi" w:hAnsiTheme="minorHAnsi" w:cstheme="minorHAnsi"/>
                <w:sz w:val="22"/>
                <w:szCs w:val="22"/>
                <w:lang w:val="en-US"/>
              </w:rPr>
            </w:pPr>
          </w:p>
          <w:p w14:paraId="75073001" w14:textId="77777777" w:rsidR="009930C7" w:rsidRPr="000D7131" w:rsidRDefault="009930C7" w:rsidP="003C087F">
            <w:pPr>
              <w:jc w:val="both"/>
              <w:rPr>
                <w:rFonts w:asciiTheme="minorHAnsi" w:hAnsiTheme="minorHAnsi" w:cstheme="minorHAnsi"/>
                <w:sz w:val="22"/>
                <w:szCs w:val="22"/>
                <w:lang w:val="en-US"/>
              </w:rPr>
            </w:pPr>
            <w:r w:rsidRPr="00453952">
              <w:rPr>
                <w:rFonts w:asciiTheme="minorHAnsi" w:hAnsiTheme="minorHAnsi" w:cstheme="minorHAnsi"/>
                <w:sz w:val="22"/>
                <w:szCs w:val="22"/>
                <w:lang w:val="en-US"/>
              </w:rPr>
              <w:t xml:space="preserve">Any unspent funds from the </w:t>
            </w:r>
            <w:r w:rsidR="00E017CA" w:rsidRPr="00453952">
              <w:rPr>
                <w:rFonts w:asciiTheme="minorHAnsi" w:hAnsiTheme="minorHAnsi" w:cstheme="minorHAnsi"/>
                <w:sz w:val="22"/>
                <w:szCs w:val="22"/>
                <w:lang w:val="en-US"/>
              </w:rPr>
              <w:t>vulnerable group</w:t>
            </w:r>
            <w:r w:rsidRPr="00453952">
              <w:rPr>
                <w:rFonts w:asciiTheme="minorHAnsi" w:hAnsiTheme="minorHAnsi" w:cstheme="minorHAnsi"/>
                <w:sz w:val="22"/>
                <w:szCs w:val="22"/>
                <w:lang w:val="en-US"/>
              </w:rPr>
              <w:t xml:space="preserve"> bursary </w:t>
            </w:r>
            <w:r w:rsidR="00E017CA" w:rsidRPr="00453952">
              <w:rPr>
                <w:rFonts w:asciiTheme="minorHAnsi" w:hAnsiTheme="minorHAnsi" w:cstheme="minorHAnsi"/>
                <w:sz w:val="22"/>
                <w:szCs w:val="22"/>
                <w:lang w:val="en-US"/>
              </w:rPr>
              <w:t>or free school meals budget will be moved into the discretionary bursary fund at the end of the academic year.</w:t>
            </w:r>
            <w:r w:rsidR="00E017CA" w:rsidRPr="00453952">
              <w:rPr>
                <w:rStyle w:val="FootnoteReference"/>
                <w:rFonts w:asciiTheme="minorHAnsi" w:hAnsiTheme="minorHAnsi" w:cstheme="minorHAnsi"/>
                <w:sz w:val="22"/>
                <w:szCs w:val="22"/>
                <w:lang w:val="en-US"/>
              </w:rPr>
              <w:footnoteReference w:id="14"/>
            </w:r>
          </w:p>
          <w:p w14:paraId="2FC980EA" w14:textId="77777777" w:rsidR="009930C7" w:rsidRPr="000D7131" w:rsidRDefault="009930C7" w:rsidP="003C087F">
            <w:pPr>
              <w:autoSpaceDE w:val="0"/>
              <w:autoSpaceDN w:val="0"/>
              <w:adjustRightInd w:val="0"/>
              <w:jc w:val="both"/>
              <w:rPr>
                <w:rFonts w:asciiTheme="minorHAnsi" w:hAnsiTheme="minorHAnsi" w:cstheme="minorHAnsi"/>
                <w:sz w:val="22"/>
                <w:szCs w:val="22"/>
                <w:highlight w:val="yellow"/>
                <w:lang w:eastAsia="en-GB"/>
              </w:rPr>
            </w:pPr>
          </w:p>
          <w:p w14:paraId="60634FDF" w14:textId="77777777" w:rsidR="00E017CA" w:rsidRPr="000D7131" w:rsidRDefault="00E017CA" w:rsidP="003C087F">
            <w:pPr>
              <w:tabs>
                <w:tab w:val="left" w:pos="1418"/>
                <w:tab w:val="right" w:pos="10206"/>
              </w:tabs>
              <w:jc w:val="both"/>
              <w:rPr>
                <w:rFonts w:asciiTheme="minorHAnsi" w:eastAsia="Arial Unicode MS" w:hAnsiTheme="minorHAnsi" w:cstheme="minorHAnsi"/>
                <w:color w:val="000000" w:themeColor="text1"/>
                <w:sz w:val="22"/>
                <w:szCs w:val="22"/>
              </w:rPr>
            </w:pPr>
            <w:r w:rsidRPr="000D7131">
              <w:rPr>
                <w:rFonts w:asciiTheme="minorHAnsi" w:eastAsia="Arial Unicode MS" w:hAnsiTheme="minorHAnsi" w:cstheme="minorHAnsi"/>
                <w:color w:val="000000" w:themeColor="text1"/>
                <w:sz w:val="22"/>
                <w:szCs w:val="22"/>
              </w:rPr>
              <w:t xml:space="preserve">The Academy will make an application for the vulnerable group bursary using the SBSS portal.  </w:t>
            </w:r>
            <w:r w:rsidR="00453952">
              <w:rPr>
                <w:rFonts w:asciiTheme="minorHAnsi" w:eastAsia="Arial Unicode MS" w:hAnsiTheme="minorHAnsi" w:cstheme="minorHAnsi"/>
                <w:color w:val="000000" w:themeColor="text1"/>
                <w:sz w:val="22"/>
                <w:szCs w:val="22"/>
              </w:rPr>
              <w:t xml:space="preserve">If new applications are made in-year the academy will use any available re-cycled funds before making a new in-year application to the SBSS.  </w:t>
            </w:r>
          </w:p>
          <w:p w14:paraId="5CFC070F" w14:textId="77777777" w:rsidR="00834C74" w:rsidRPr="000D7131" w:rsidRDefault="00834C74" w:rsidP="00E017CA">
            <w:pPr>
              <w:tabs>
                <w:tab w:val="left" w:pos="1418"/>
                <w:tab w:val="right" w:pos="10206"/>
              </w:tabs>
              <w:rPr>
                <w:rFonts w:asciiTheme="minorHAnsi" w:eastAsia="Arial Unicode MS" w:hAnsiTheme="minorHAnsi" w:cstheme="minorHAnsi"/>
                <w:color w:val="000000" w:themeColor="text1"/>
                <w:sz w:val="22"/>
                <w:szCs w:val="22"/>
              </w:rPr>
            </w:pPr>
          </w:p>
          <w:p w14:paraId="4BA7BD9D" w14:textId="77777777" w:rsidR="00834C74" w:rsidRPr="000D7131" w:rsidRDefault="00834C74" w:rsidP="00E017CA">
            <w:pPr>
              <w:tabs>
                <w:tab w:val="left" w:pos="1418"/>
                <w:tab w:val="right" w:pos="10206"/>
              </w:tabs>
              <w:rPr>
                <w:rFonts w:asciiTheme="minorHAnsi" w:eastAsia="Arial Unicode MS" w:hAnsiTheme="minorHAnsi" w:cstheme="minorHAnsi"/>
                <w:color w:val="000000" w:themeColor="text1"/>
                <w:sz w:val="22"/>
                <w:szCs w:val="22"/>
              </w:rPr>
            </w:pPr>
            <w:r w:rsidRPr="000D7131">
              <w:rPr>
                <w:rFonts w:asciiTheme="minorHAnsi" w:eastAsia="Arial Unicode MS" w:hAnsiTheme="minorHAnsi" w:cstheme="minorHAnsi"/>
                <w:color w:val="000000" w:themeColor="text1"/>
                <w:sz w:val="22"/>
                <w:szCs w:val="22"/>
              </w:rPr>
              <w:t>There are clear audit requirements for the coll</w:t>
            </w:r>
            <w:r w:rsidR="005176EA" w:rsidRPr="000D7131">
              <w:rPr>
                <w:rFonts w:asciiTheme="minorHAnsi" w:eastAsia="Arial Unicode MS" w:hAnsiTheme="minorHAnsi" w:cstheme="minorHAnsi"/>
                <w:color w:val="000000" w:themeColor="text1"/>
                <w:sz w:val="22"/>
                <w:szCs w:val="22"/>
              </w:rPr>
              <w:t xml:space="preserve">ection and distribution of bursary awards.  The academy must be able to confirm during an audit </w:t>
            </w:r>
            <w:r w:rsidR="00E94145" w:rsidRPr="000D7131">
              <w:rPr>
                <w:rFonts w:asciiTheme="minorHAnsi" w:eastAsia="Arial Unicode MS" w:hAnsiTheme="minorHAnsi" w:cstheme="minorHAnsi"/>
                <w:color w:val="000000" w:themeColor="text1"/>
                <w:sz w:val="22"/>
                <w:szCs w:val="22"/>
              </w:rPr>
              <w:t>the records</w:t>
            </w:r>
            <w:r w:rsidR="005176EA" w:rsidRPr="000D7131">
              <w:rPr>
                <w:rFonts w:asciiTheme="minorHAnsi" w:eastAsia="Arial Unicode MS" w:hAnsiTheme="minorHAnsi" w:cstheme="minorHAnsi"/>
                <w:color w:val="000000" w:themeColor="text1"/>
                <w:sz w:val="22"/>
                <w:szCs w:val="22"/>
              </w:rPr>
              <w:t xml:space="preserve"> of the application and award to include;</w:t>
            </w:r>
          </w:p>
          <w:p w14:paraId="7D2210D7"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Application form</w:t>
            </w:r>
          </w:p>
          <w:p w14:paraId="1EECFC06"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Evidence of eligibility</w:t>
            </w:r>
          </w:p>
          <w:p w14:paraId="048D25A9"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Student declaration</w:t>
            </w:r>
          </w:p>
          <w:p w14:paraId="35EA6FB4" w14:textId="77777777" w:rsidR="00E94145" w:rsidRPr="000D7131" w:rsidRDefault="00E94145"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Copy of the student’s individual assessment of actual financial need.</w:t>
            </w:r>
          </w:p>
          <w:p w14:paraId="7DCC25C7"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Purpose of the award and its value</w:t>
            </w:r>
          </w:p>
          <w:p w14:paraId="1BD237E2"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Brief justification of the award</w:t>
            </w:r>
          </w:p>
          <w:p w14:paraId="6AB6A4DA" w14:textId="77777777" w:rsidR="00E94145" w:rsidRPr="000D7131" w:rsidRDefault="00E94145"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Evidence of award payments or support provided in kind.</w:t>
            </w:r>
          </w:p>
          <w:p w14:paraId="7BDF3188"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Clear bursary policy that has been applied consistently for all students.</w:t>
            </w:r>
          </w:p>
          <w:p w14:paraId="3C7C35A7"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Details of any unspent funds being carried forward into a new academic year.</w:t>
            </w:r>
          </w:p>
          <w:p w14:paraId="04231C44" w14:textId="77777777" w:rsidR="00E94145" w:rsidRPr="000D7131" w:rsidRDefault="00E94145"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A copy of the funding claim sent to SBSS and evidence of the payment received.  For example, bank statements and remittance advice.</w:t>
            </w:r>
          </w:p>
          <w:p w14:paraId="520012F3" w14:textId="77777777" w:rsidR="005176EA" w:rsidRPr="000D7131" w:rsidRDefault="005176EA" w:rsidP="005176EA">
            <w:pPr>
              <w:pStyle w:val="ListParagraph"/>
              <w:numPr>
                <w:ilvl w:val="0"/>
                <w:numId w:val="16"/>
              </w:numPr>
              <w:tabs>
                <w:tab w:val="left" w:pos="1418"/>
                <w:tab w:val="right" w:pos="10206"/>
              </w:tabs>
              <w:rPr>
                <w:rFonts w:eastAsia="Arial Unicode MS" w:cstheme="minorHAnsi"/>
                <w:color w:val="000000" w:themeColor="text1"/>
              </w:rPr>
            </w:pPr>
            <w:r w:rsidRPr="000D7131">
              <w:rPr>
                <w:rFonts w:eastAsia="Arial Unicode MS" w:cstheme="minorHAnsi"/>
                <w:color w:val="000000" w:themeColor="text1"/>
              </w:rPr>
              <w:t>All documents should be retained for 6 years in either hard or scanned formats. To include household income evidence.</w:t>
            </w:r>
          </w:p>
          <w:p w14:paraId="67E3E198" w14:textId="77777777" w:rsidR="0074030C" w:rsidRPr="000D7131" w:rsidRDefault="0074030C" w:rsidP="00E017CA">
            <w:pPr>
              <w:pStyle w:val="Default"/>
              <w:rPr>
                <w:rFonts w:asciiTheme="minorHAnsi" w:eastAsia="Arial Unicode MS" w:hAnsiTheme="minorHAnsi" w:cstheme="minorHAnsi"/>
                <w:b/>
                <w:color w:val="000000" w:themeColor="text1"/>
                <w:sz w:val="22"/>
                <w:szCs w:val="22"/>
              </w:rPr>
            </w:pPr>
          </w:p>
        </w:tc>
      </w:tr>
      <w:tr w:rsidR="00FA529F" w:rsidRPr="00C7792D" w14:paraId="7AE326E7" w14:textId="77777777" w:rsidTr="00F96BF5">
        <w:tc>
          <w:tcPr>
            <w:tcW w:w="9214" w:type="dxa"/>
            <w:shd w:val="clear" w:color="auto" w:fill="auto"/>
            <w:vAlign w:val="center"/>
          </w:tcPr>
          <w:p w14:paraId="74C313FF" w14:textId="77777777" w:rsidR="00FA529F" w:rsidRPr="00C7792D" w:rsidRDefault="00FA529F" w:rsidP="00E017CA">
            <w:pPr>
              <w:rPr>
                <w:rFonts w:asciiTheme="minorHAnsi" w:hAnsiTheme="minorHAnsi" w:cstheme="minorHAnsi"/>
                <w:sz w:val="22"/>
                <w:szCs w:val="22"/>
                <w:lang w:val="en-US"/>
              </w:rPr>
            </w:pPr>
          </w:p>
        </w:tc>
      </w:tr>
    </w:tbl>
    <w:p w14:paraId="77586320" w14:textId="77777777" w:rsidR="0074030C" w:rsidRPr="00C7792D" w:rsidRDefault="0074030C" w:rsidP="00E017CA">
      <w:pPr>
        <w:rPr>
          <w:rFonts w:asciiTheme="minorHAnsi" w:eastAsia="Arial Unicode MS" w:hAnsiTheme="minorHAnsi" w:cstheme="minorHAnsi"/>
          <w:b/>
          <w:color w:val="000000" w:themeColor="text1"/>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67369147" w14:textId="77777777" w:rsidTr="00F96BF5">
        <w:trPr>
          <w:trHeight w:val="299"/>
        </w:trPr>
        <w:tc>
          <w:tcPr>
            <w:tcW w:w="9072" w:type="dxa"/>
            <w:shd w:val="clear" w:color="auto" w:fill="9CC2E5"/>
            <w:tcMar>
              <w:left w:w="57" w:type="dxa"/>
            </w:tcMar>
            <w:vAlign w:val="center"/>
          </w:tcPr>
          <w:p w14:paraId="14DFC288"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Implementation</w:t>
            </w:r>
          </w:p>
        </w:tc>
      </w:tr>
      <w:tr w:rsidR="0074030C" w:rsidRPr="00C7792D" w14:paraId="5DC861BC" w14:textId="77777777" w:rsidTr="00F96BF5">
        <w:tc>
          <w:tcPr>
            <w:tcW w:w="9214" w:type="dxa"/>
            <w:shd w:val="clear" w:color="auto" w:fill="auto"/>
            <w:vAlign w:val="center"/>
          </w:tcPr>
          <w:p w14:paraId="337041A3" w14:textId="77777777" w:rsidR="00350238" w:rsidRDefault="00350238" w:rsidP="00E017CA">
            <w:pPr>
              <w:rPr>
                <w:rFonts w:asciiTheme="minorHAnsi" w:eastAsia="Arial Unicode MS" w:hAnsiTheme="minorHAnsi" w:cstheme="minorHAnsi"/>
                <w:color w:val="000000" w:themeColor="text1"/>
                <w:sz w:val="22"/>
                <w:szCs w:val="22"/>
              </w:rPr>
            </w:pPr>
          </w:p>
          <w:p w14:paraId="7492D2D1" w14:textId="77777777" w:rsidR="00350238" w:rsidRPr="00366702" w:rsidRDefault="00350238" w:rsidP="00C90C73">
            <w:pPr>
              <w:jc w:val="both"/>
              <w:rPr>
                <w:rFonts w:asciiTheme="minorHAnsi" w:eastAsia="Arial Unicode MS" w:hAnsiTheme="minorHAnsi" w:cstheme="minorHAnsi"/>
                <w:color w:val="000000" w:themeColor="text1"/>
                <w:sz w:val="22"/>
                <w:szCs w:val="22"/>
              </w:rPr>
            </w:pPr>
            <w:r w:rsidRPr="00366702">
              <w:rPr>
                <w:rFonts w:asciiTheme="minorHAnsi" w:eastAsia="Arial Unicode MS" w:hAnsiTheme="minorHAnsi" w:cstheme="minorHAnsi"/>
                <w:color w:val="000000" w:themeColor="text1"/>
                <w:sz w:val="22"/>
                <w:szCs w:val="22"/>
              </w:rPr>
              <w:t xml:space="preserve">Rename cost codes to </w:t>
            </w:r>
          </w:p>
          <w:p w14:paraId="3FAE9C81" w14:textId="77777777" w:rsidR="00350238" w:rsidRPr="00366702" w:rsidRDefault="00350238" w:rsidP="00C90C73">
            <w:pPr>
              <w:pStyle w:val="ListParagraph"/>
              <w:numPr>
                <w:ilvl w:val="0"/>
                <w:numId w:val="17"/>
              </w:numPr>
              <w:jc w:val="both"/>
              <w:rPr>
                <w:rFonts w:eastAsia="Arial Unicode MS" w:cstheme="minorHAnsi"/>
                <w:color w:val="000000" w:themeColor="text1"/>
              </w:rPr>
            </w:pPr>
            <w:r w:rsidRPr="00366702">
              <w:rPr>
                <w:rFonts w:eastAsia="Arial Unicode MS" w:cstheme="minorHAnsi"/>
                <w:color w:val="000000" w:themeColor="text1"/>
              </w:rPr>
              <w:t>Vulnerable Group Bursary.</w:t>
            </w:r>
          </w:p>
          <w:p w14:paraId="28B6CF04" w14:textId="77777777" w:rsidR="00350238" w:rsidRPr="00366702" w:rsidRDefault="00350238" w:rsidP="00C90C73">
            <w:pPr>
              <w:pStyle w:val="ListParagraph"/>
              <w:numPr>
                <w:ilvl w:val="0"/>
                <w:numId w:val="17"/>
              </w:numPr>
              <w:jc w:val="both"/>
              <w:rPr>
                <w:rFonts w:eastAsia="Arial Unicode MS" w:cstheme="minorHAnsi"/>
                <w:color w:val="000000" w:themeColor="text1"/>
              </w:rPr>
            </w:pPr>
            <w:r w:rsidRPr="00366702">
              <w:rPr>
                <w:rFonts w:eastAsia="Arial Unicode MS" w:cstheme="minorHAnsi"/>
                <w:color w:val="000000" w:themeColor="text1"/>
              </w:rPr>
              <w:t>16-19 discretionary Bursary.</w:t>
            </w:r>
          </w:p>
          <w:p w14:paraId="0830913E" w14:textId="77777777" w:rsidR="00350238" w:rsidRPr="00366702" w:rsidRDefault="00350238" w:rsidP="00C90C73">
            <w:pPr>
              <w:pStyle w:val="ListParagraph"/>
              <w:numPr>
                <w:ilvl w:val="0"/>
                <w:numId w:val="17"/>
              </w:numPr>
              <w:jc w:val="both"/>
              <w:rPr>
                <w:rFonts w:eastAsia="Arial Unicode MS" w:cstheme="minorHAnsi"/>
                <w:color w:val="000000" w:themeColor="text1"/>
              </w:rPr>
            </w:pPr>
            <w:r w:rsidRPr="00366702">
              <w:rPr>
                <w:rFonts w:eastAsia="Arial Unicode MS" w:cstheme="minorHAnsi"/>
                <w:color w:val="000000" w:themeColor="text1"/>
              </w:rPr>
              <w:t>Free School Meals</w:t>
            </w:r>
          </w:p>
          <w:p w14:paraId="4A40A142" w14:textId="77777777" w:rsidR="009930C7" w:rsidRDefault="00350238" w:rsidP="00C90C73">
            <w:pPr>
              <w:jc w:val="both"/>
              <w:rPr>
                <w:rFonts w:asciiTheme="minorHAnsi" w:eastAsia="Arial Unicode MS" w:hAnsiTheme="minorHAnsi" w:cstheme="minorHAnsi"/>
                <w:color w:val="000000" w:themeColor="text1"/>
                <w:sz w:val="22"/>
                <w:szCs w:val="22"/>
              </w:rPr>
            </w:pPr>
            <w:r w:rsidRPr="00457299">
              <w:rPr>
                <w:rFonts w:asciiTheme="minorHAnsi" w:eastAsia="Arial Unicode MS" w:hAnsiTheme="minorHAnsi" w:cstheme="minorHAnsi"/>
                <w:color w:val="000000" w:themeColor="text1"/>
                <w:sz w:val="22"/>
                <w:szCs w:val="22"/>
              </w:rPr>
              <w:t xml:space="preserve">Move all </w:t>
            </w:r>
            <w:r w:rsidR="00FA3D60" w:rsidRPr="00457299">
              <w:rPr>
                <w:rFonts w:asciiTheme="minorHAnsi" w:eastAsia="Arial Unicode MS" w:hAnsiTheme="minorHAnsi" w:cstheme="minorHAnsi"/>
                <w:color w:val="000000" w:themeColor="text1"/>
                <w:sz w:val="22"/>
                <w:szCs w:val="22"/>
              </w:rPr>
              <w:t xml:space="preserve">Vulnerable Group Bursary and </w:t>
            </w:r>
            <w:r w:rsidRPr="00457299">
              <w:rPr>
                <w:rFonts w:asciiTheme="minorHAnsi" w:eastAsia="Arial Unicode MS" w:hAnsiTheme="minorHAnsi" w:cstheme="minorHAnsi"/>
                <w:color w:val="000000" w:themeColor="text1"/>
                <w:sz w:val="22"/>
                <w:szCs w:val="22"/>
              </w:rPr>
              <w:t>FSM funds left at the end of the academic year into the 16-19 Discretionary Bursary Fund.</w:t>
            </w:r>
          </w:p>
          <w:p w14:paraId="2C77417C" w14:textId="77777777" w:rsidR="00C11DBD" w:rsidRDefault="00C11DBD" w:rsidP="00C90C73">
            <w:pPr>
              <w:jc w:val="both"/>
              <w:rPr>
                <w:rFonts w:asciiTheme="minorHAnsi" w:eastAsia="Arial Unicode MS" w:hAnsiTheme="minorHAnsi" w:cstheme="minorHAnsi"/>
                <w:color w:val="000000" w:themeColor="text1"/>
                <w:sz w:val="22"/>
                <w:szCs w:val="22"/>
              </w:rPr>
            </w:pPr>
          </w:p>
          <w:p w14:paraId="76180A16" w14:textId="77777777" w:rsidR="00857D64" w:rsidRDefault="00857D64" w:rsidP="00C90C73">
            <w:pPr>
              <w:jc w:val="both"/>
              <w:rPr>
                <w:rFonts w:asciiTheme="minorHAnsi" w:eastAsia="Arial Unicode MS" w:hAnsiTheme="minorHAnsi" w:cstheme="minorHAnsi"/>
                <w:color w:val="000000" w:themeColor="text1"/>
                <w:sz w:val="22"/>
                <w:szCs w:val="22"/>
              </w:rPr>
            </w:pPr>
            <w:r w:rsidRPr="00622716">
              <w:rPr>
                <w:rFonts w:asciiTheme="minorHAnsi" w:eastAsia="Arial Unicode MS" w:hAnsiTheme="minorHAnsi" w:cstheme="minorHAnsi"/>
                <w:color w:val="000000" w:themeColor="text1"/>
                <w:sz w:val="22"/>
                <w:szCs w:val="22"/>
              </w:rPr>
              <w:t>Students who receive FSM are required to be flagged in the ILR</w:t>
            </w:r>
            <w:r w:rsidR="00366702">
              <w:rPr>
                <w:rFonts w:asciiTheme="minorHAnsi" w:eastAsia="Arial Unicode MS" w:hAnsiTheme="minorHAnsi" w:cstheme="minorHAnsi"/>
                <w:color w:val="000000" w:themeColor="text1"/>
                <w:sz w:val="22"/>
                <w:szCs w:val="22"/>
              </w:rPr>
              <w:t>.</w:t>
            </w:r>
          </w:p>
          <w:p w14:paraId="1347D83E" w14:textId="77777777" w:rsidR="00860BDF" w:rsidRDefault="00860BDF" w:rsidP="00C90C73">
            <w:pPr>
              <w:jc w:val="both"/>
              <w:rPr>
                <w:rFonts w:asciiTheme="minorHAnsi" w:eastAsia="Arial Unicode MS" w:hAnsiTheme="minorHAnsi" w:cstheme="minorHAnsi"/>
                <w:color w:val="000000" w:themeColor="text1"/>
                <w:sz w:val="22"/>
                <w:szCs w:val="22"/>
              </w:rPr>
            </w:pPr>
          </w:p>
          <w:p w14:paraId="463F8BE1" w14:textId="77777777" w:rsidR="00860BDF" w:rsidRPr="00C7792D" w:rsidRDefault="00860BDF" w:rsidP="00C90C73">
            <w:pPr>
              <w:tabs>
                <w:tab w:val="left" w:pos="1418"/>
                <w:tab w:val="right" w:pos="10206"/>
              </w:tabs>
              <w:jc w:val="both"/>
              <w:rPr>
                <w:rFonts w:asciiTheme="minorHAnsi" w:eastAsia="Arial Unicode MS" w:hAnsiTheme="minorHAnsi" w:cstheme="minorHAnsi"/>
                <w:b/>
                <w:color w:val="FF0000"/>
                <w:sz w:val="22"/>
                <w:szCs w:val="22"/>
              </w:rPr>
            </w:pPr>
            <w:r>
              <w:rPr>
                <w:rFonts w:asciiTheme="minorHAnsi" w:eastAsia="Arial Unicode MS" w:hAnsiTheme="minorHAnsi" w:cstheme="minorHAnsi"/>
                <w:b/>
                <w:color w:val="FF0000"/>
                <w:sz w:val="22"/>
                <w:szCs w:val="22"/>
              </w:rPr>
              <w:t>T</w:t>
            </w:r>
            <w:r w:rsidRPr="00C7792D">
              <w:rPr>
                <w:rFonts w:asciiTheme="minorHAnsi" w:eastAsia="Arial Unicode MS" w:hAnsiTheme="minorHAnsi" w:cstheme="minorHAnsi"/>
                <w:b/>
                <w:color w:val="FF0000"/>
                <w:sz w:val="22"/>
                <w:szCs w:val="22"/>
              </w:rPr>
              <w:t>o do checklist</w:t>
            </w:r>
          </w:p>
          <w:p w14:paraId="0EE609E9" w14:textId="77777777" w:rsidR="00860BDF" w:rsidRPr="00C7792D" w:rsidRDefault="00860BDF" w:rsidP="00C90C73">
            <w:pPr>
              <w:tabs>
                <w:tab w:val="left" w:pos="1418"/>
                <w:tab w:val="right" w:pos="10206"/>
              </w:tabs>
              <w:jc w:val="both"/>
              <w:rPr>
                <w:rFonts w:asciiTheme="minorHAnsi" w:eastAsia="Arial Unicode MS" w:hAnsiTheme="minorHAnsi" w:cstheme="minorHAnsi"/>
                <w:b/>
                <w:color w:val="FF0000"/>
                <w:sz w:val="22"/>
                <w:szCs w:val="22"/>
              </w:rPr>
            </w:pPr>
          </w:p>
          <w:p w14:paraId="2A16FAF3" w14:textId="77777777" w:rsidR="00860BDF" w:rsidRPr="00D30531"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sidRPr="00D30531">
              <w:rPr>
                <w:rFonts w:eastAsia="Arial Unicode MS" w:cstheme="minorHAnsi"/>
              </w:rPr>
              <w:t>Policy published on the website.</w:t>
            </w:r>
          </w:p>
          <w:p w14:paraId="4EA604CF" w14:textId="77777777" w:rsidR="00860BDF"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sidRPr="00D30531">
              <w:rPr>
                <w:rFonts w:eastAsia="Arial Unicode MS" w:cstheme="minorHAnsi"/>
              </w:rPr>
              <w:t>GDPR statement?</w:t>
            </w:r>
          </w:p>
          <w:p w14:paraId="52134C72" w14:textId="77777777" w:rsidR="00860BDF" w:rsidRPr="00D30531"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Pr>
                <w:rFonts w:eastAsia="Arial Unicode MS" w:cstheme="minorHAnsi"/>
              </w:rPr>
              <w:t>GDPR process?</w:t>
            </w:r>
          </w:p>
          <w:p w14:paraId="496883AF" w14:textId="77777777" w:rsidR="00860BDF"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sidRPr="00D30531">
              <w:rPr>
                <w:rFonts w:eastAsia="Arial Unicode MS" w:cstheme="minorHAnsi"/>
              </w:rPr>
              <w:t>Declaration and warning, signed?</w:t>
            </w:r>
            <w:r>
              <w:rPr>
                <w:rFonts w:eastAsia="Arial Unicode MS" w:cstheme="minorHAnsi"/>
              </w:rPr>
              <w:t xml:space="preserve"> </w:t>
            </w:r>
          </w:p>
          <w:p w14:paraId="4990BB59" w14:textId="77777777" w:rsidR="00860BDF"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Pr>
                <w:rFonts w:eastAsia="Arial Unicode MS" w:cstheme="minorHAnsi"/>
              </w:rPr>
              <w:t>Declaration states they understand the award can be withdrawn if they fall below 90% attendance?</w:t>
            </w:r>
          </w:p>
          <w:p w14:paraId="507018F4" w14:textId="77777777" w:rsidR="00860BDF"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Pr>
                <w:rFonts w:eastAsia="Arial Unicode MS" w:cstheme="minorHAnsi"/>
              </w:rPr>
              <w:t>Evidence retention?</w:t>
            </w:r>
          </w:p>
          <w:p w14:paraId="777A1763" w14:textId="77777777" w:rsidR="00860BDF" w:rsidRPr="00D30531" w:rsidRDefault="00860BDF" w:rsidP="00C90C73">
            <w:pPr>
              <w:pStyle w:val="ListParagraph"/>
              <w:numPr>
                <w:ilvl w:val="0"/>
                <w:numId w:val="15"/>
              </w:numPr>
              <w:tabs>
                <w:tab w:val="left" w:pos="1418"/>
                <w:tab w:val="right" w:pos="10206"/>
              </w:tabs>
              <w:spacing w:after="0" w:line="240" w:lineRule="auto"/>
              <w:jc w:val="both"/>
              <w:rPr>
                <w:rFonts w:eastAsia="Arial Unicode MS" w:cstheme="minorHAnsi"/>
              </w:rPr>
            </w:pPr>
            <w:r>
              <w:rPr>
                <w:rFonts w:eastAsia="Arial Unicode MS" w:cstheme="minorHAnsi"/>
              </w:rPr>
              <w:t>Payments/benefits cease when a student leaves the college roll.</w:t>
            </w:r>
          </w:p>
          <w:p w14:paraId="21E02D7F" w14:textId="77777777" w:rsidR="00860BDF" w:rsidRPr="00C7792D" w:rsidRDefault="00860BDF" w:rsidP="00860BDF">
            <w:pPr>
              <w:tabs>
                <w:tab w:val="left" w:pos="1418"/>
                <w:tab w:val="right" w:pos="10206"/>
              </w:tabs>
              <w:rPr>
                <w:rFonts w:asciiTheme="minorHAnsi" w:eastAsia="Arial Unicode MS" w:hAnsiTheme="minorHAnsi" w:cstheme="minorHAnsi"/>
                <w:sz w:val="22"/>
                <w:szCs w:val="22"/>
              </w:rPr>
            </w:pPr>
          </w:p>
          <w:p w14:paraId="303E36C8" w14:textId="77777777" w:rsidR="00860BDF" w:rsidRPr="00C11DBD" w:rsidRDefault="00860BDF" w:rsidP="00350238">
            <w:pPr>
              <w:rPr>
                <w:rFonts w:asciiTheme="minorHAnsi" w:eastAsia="Arial Unicode MS" w:hAnsiTheme="minorHAnsi" w:cstheme="minorHAnsi"/>
                <w:color w:val="000000" w:themeColor="text1"/>
                <w:sz w:val="22"/>
                <w:szCs w:val="22"/>
              </w:rPr>
            </w:pPr>
          </w:p>
        </w:tc>
      </w:tr>
    </w:tbl>
    <w:p w14:paraId="6B5A4349" w14:textId="77777777" w:rsidR="0074030C" w:rsidRPr="00C7792D" w:rsidRDefault="0074030C" w:rsidP="00E017CA">
      <w:pPr>
        <w:rPr>
          <w:rFonts w:asciiTheme="minorHAnsi" w:eastAsia="Arial Unicode MS" w:hAnsiTheme="minorHAnsi" w:cstheme="minorHAnsi"/>
          <w:b/>
          <w:color w:val="000000" w:themeColor="text1"/>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65EDEE22" w14:textId="77777777" w:rsidTr="00F96BF5">
        <w:trPr>
          <w:trHeight w:val="299"/>
        </w:trPr>
        <w:tc>
          <w:tcPr>
            <w:tcW w:w="9072" w:type="dxa"/>
            <w:shd w:val="clear" w:color="auto" w:fill="9CC2E5"/>
            <w:tcMar>
              <w:left w:w="57" w:type="dxa"/>
            </w:tcMar>
            <w:vAlign w:val="center"/>
          </w:tcPr>
          <w:p w14:paraId="00D42722"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Communication</w:t>
            </w:r>
          </w:p>
        </w:tc>
      </w:tr>
      <w:tr w:rsidR="0074030C" w:rsidRPr="00C7792D" w14:paraId="20882296" w14:textId="77777777" w:rsidTr="00F96BF5">
        <w:tc>
          <w:tcPr>
            <w:tcW w:w="9214" w:type="dxa"/>
            <w:shd w:val="clear" w:color="auto" w:fill="auto"/>
            <w:vAlign w:val="center"/>
          </w:tcPr>
          <w:p w14:paraId="73D583B0" w14:textId="77777777" w:rsidR="0074030C" w:rsidRPr="00C7792D" w:rsidRDefault="0074030C" w:rsidP="00E017CA">
            <w:pPr>
              <w:rPr>
                <w:rFonts w:asciiTheme="minorHAnsi" w:hAnsiTheme="minorHAnsi" w:cstheme="minorHAnsi"/>
                <w:sz w:val="22"/>
                <w:szCs w:val="22"/>
                <w:lang w:val="en-US"/>
              </w:rPr>
            </w:pPr>
          </w:p>
          <w:p w14:paraId="6129ED79" w14:textId="77777777" w:rsidR="0074030C" w:rsidRPr="00FA3D60" w:rsidRDefault="00FA3D60" w:rsidP="00E017CA">
            <w:pPr>
              <w:rPr>
                <w:rFonts w:asciiTheme="minorHAnsi" w:eastAsia="Arial Unicode MS" w:hAnsiTheme="minorHAnsi" w:cstheme="minorHAnsi"/>
                <w:color w:val="000000" w:themeColor="text1"/>
                <w:sz w:val="22"/>
                <w:szCs w:val="22"/>
              </w:rPr>
            </w:pPr>
            <w:r w:rsidRPr="002F0914">
              <w:rPr>
                <w:rFonts w:asciiTheme="minorHAnsi" w:eastAsia="Arial Unicode MS" w:hAnsiTheme="minorHAnsi" w:cstheme="minorHAnsi"/>
                <w:color w:val="000000" w:themeColor="text1"/>
                <w:sz w:val="22"/>
                <w:szCs w:val="22"/>
              </w:rPr>
              <w:t>Training for stakeholders</w:t>
            </w:r>
          </w:p>
        </w:tc>
      </w:tr>
    </w:tbl>
    <w:p w14:paraId="21A38FFD" w14:textId="77777777" w:rsidR="0074030C" w:rsidRPr="00C7792D" w:rsidRDefault="0074030C" w:rsidP="00E017CA">
      <w:pPr>
        <w:rPr>
          <w:rFonts w:asciiTheme="minorHAnsi" w:eastAsia="Arial Unicode MS" w:hAnsiTheme="minorHAnsi" w:cstheme="minorHAnsi"/>
          <w:b/>
          <w:color w:val="000000" w:themeColor="text1"/>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5C12A8E4" w14:textId="77777777" w:rsidTr="00F96BF5">
        <w:trPr>
          <w:trHeight w:val="299"/>
        </w:trPr>
        <w:tc>
          <w:tcPr>
            <w:tcW w:w="9072" w:type="dxa"/>
            <w:shd w:val="clear" w:color="auto" w:fill="9CC2E5"/>
            <w:tcMar>
              <w:left w:w="57" w:type="dxa"/>
            </w:tcMar>
            <w:vAlign w:val="center"/>
          </w:tcPr>
          <w:p w14:paraId="1AD798EE"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Monitoring</w:t>
            </w:r>
          </w:p>
        </w:tc>
      </w:tr>
      <w:tr w:rsidR="0074030C" w:rsidRPr="00C7792D" w14:paraId="26DD2386" w14:textId="77777777" w:rsidTr="00F96BF5">
        <w:tc>
          <w:tcPr>
            <w:tcW w:w="9214" w:type="dxa"/>
            <w:shd w:val="clear" w:color="auto" w:fill="auto"/>
            <w:vAlign w:val="center"/>
          </w:tcPr>
          <w:p w14:paraId="52E62924" w14:textId="77777777" w:rsidR="0074030C" w:rsidRPr="00C7792D" w:rsidRDefault="0074030C" w:rsidP="00E017CA">
            <w:pPr>
              <w:rPr>
                <w:rFonts w:asciiTheme="minorHAnsi" w:hAnsiTheme="minorHAnsi" w:cstheme="minorHAnsi"/>
                <w:sz w:val="22"/>
                <w:szCs w:val="22"/>
                <w:lang w:val="en-US"/>
              </w:rPr>
            </w:pPr>
          </w:p>
          <w:p w14:paraId="62C51CA6" w14:textId="77777777" w:rsidR="00EB2CD0" w:rsidRDefault="00EB2CD0" w:rsidP="00C90C73">
            <w:pPr>
              <w:jc w:val="both"/>
              <w:rPr>
                <w:rFonts w:asciiTheme="minorHAnsi" w:eastAsia="Arial Unicode MS" w:hAnsiTheme="minorHAnsi" w:cstheme="minorHAnsi"/>
                <w:color w:val="000000" w:themeColor="text1"/>
                <w:sz w:val="22"/>
                <w:szCs w:val="22"/>
              </w:rPr>
            </w:pPr>
            <w:r w:rsidRPr="00EB2CD0">
              <w:rPr>
                <w:rFonts w:asciiTheme="minorHAnsi" w:eastAsia="Arial Unicode MS" w:hAnsiTheme="minorHAnsi" w:cstheme="minorHAnsi"/>
                <w:color w:val="000000" w:themeColor="text1"/>
                <w:sz w:val="22"/>
                <w:szCs w:val="22"/>
              </w:rPr>
              <w:t>At the end of each academic</w:t>
            </w:r>
            <w:r w:rsidR="0084214B">
              <w:rPr>
                <w:rFonts w:asciiTheme="minorHAnsi" w:eastAsia="Arial Unicode MS" w:hAnsiTheme="minorHAnsi" w:cstheme="minorHAnsi"/>
                <w:color w:val="000000" w:themeColor="text1"/>
                <w:sz w:val="22"/>
                <w:szCs w:val="22"/>
              </w:rPr>
              <w:t xml:space="preserve"> year the</w:t>
            </w:r>
            <w:r w:rsidRPr="00EB2CD0">
              <w:rPr>
                <w:rFonts w:asciiTheme="minorHAnsi" w:eastAsia="Arial Unicode MS" w:hAnsiTheme="minorHAnsi" w:cstheme="minorHAnsi"/>
                <w:color w:val="000000" w:themeColor="text1"/>
                <w:sz w:val="22"/>
                <w:szCs w:val="22"/>
              </w:rPr>
              <w:t xml:space="preserve"> impact </w:t>
            </w:r>
            <w:r w:rsidR="0084214B">
              <w:rPr>
                <w:rFonts w:asciiTheme="minorHAnsi" w:eastAsia="Arial Unicode MS" w:hAnsiTheme="minorHAnsi" w:cstheme="minorHAnsi"/>
                <w:color w:val="000000" w:themeColor="text1"/>
                <w:sz w:val="22"/>
                <w:szCs w:val="22"/>
              </w:rPr>
              <w:t xml:space="preserve">of the policy </w:t>
            </w:r>
            <w:r w:rsidRPr="00EB2CD0">
              <w:rPr>
                <w:rFonts w:asciiTheme="minorHAnsi" w:eastAsia="Arial Unicode MS" w:hAnsiTheme="minorHAnsi" w:cstheme="minorHAnsi"/>
                <w:color w:val="000000" w:themeColor="text1"/>
                <w:sz w:val="22"/>
                <w:szCs w:val="22"/>
              </w:rPr>
              <w:t xml:space="preserve">will be </w:t>
            </w:r>
            <w:r w:rsidR="0084214B">
              <w:rPr>
                <w:rFonts w:asciiTheme="minorHAnsi" w:eastAsia="Arial Unicode MS" w:hAnsiTheme="minorHAnsi" w:cstheme="minorHAnsi"/>
                <w:color w:val="000000" w:themeColor="text1"/>
                <w:sz w:val="22"/>
                <w:szCs w:val="22"/>
              </w:rPr>
              <w:t>evaluated</w:t>
            </w:r>
            <w:r w:rsidRPr="00EB2CD0">
              <w:rPr>
                <w:rFonts w:asciiTheme="minorHAnsi" w:eastAsia="Arial Unicode MS" w:hAnsiTheme="minorHAnsi" w:cstheme="minorHAnsi"/>
                <w:color w:val="000000" w:themeColor="text1"/>
                <w:sz w:val="22"/>
                <w:szCs w:val="22"/>
              </w:rPr>
              <w:t xml:space="preserve"> by the academy.  </w:t>
            </w:r>
            <w:r>
              <w:rPr>
                <w:rFonts w:asciiTheme="minorHAnsi" w:eastAsia="Arial Unicode MS" w:hAnsiTheme="minorHAnsi" w:cstheme="minorHAnsi"/>
                <w:color w:val="000000" w:themeColor="text1"/>
                <w:sz w:val="22"/>
                <w:szCs w:val="22"/>
              </w:rPr>
              <w:t xml:space="preserve">This </w:t>
            </w:r>
            <w:r w:rsidR="0084214B">
              <w:rPr>
                <w:rFonts w:asciiTheme="minorHAnsi" w:eastAsia="Arial Unicode MS" w:hAnsiTheme="minorHAnsi" w:cstheme="minorHAnsi"/>
                <w:color w:val="000000" w:themeColor="text1"/>
                <w:sz w:val="22"/>
                <w:szCs w:val="22"/>
              </w:rPr>
              <w:t>evaluation</w:t>
            </w:r>
            <w:r>
              <w:rPr>
                <w:rFonts w:asciiTheme="minorHAnsi" w:eastAsia="Arial Unicode MS" w:hAnsiTheme="minorHAnsi" w:cstheme="minorHAnsi"/>
                <w:color w:val="000000" w:themeColor="text1"/>
                <w:sz w:val="22"/>
                <w:szCs w:val="22"/>
              </w:rPr>
              <w:t xml:space="preserve"> will consider changes to the guidance document </w:t>
            </w:r>
            <w:r w:rsidR="0084214B">
              <w:rPr>
                <w:rFonts w:asciiTheme="minorHAnsi" w:eastAsia="Arial Unicode MS" w:hAnsiTheme="minorHAnsi" w:cstheme="minorHAnsi"/>
                <w:color w:val="000000" w:themeColor="text1"/>
                <w:sz w:val="22"/>
                <w:szCs w:val="22"/>
              </w:rPr>
              <w:t>(</w:t>
            </w:r>
            <w:r>
              <w:rPr>
                <w:rFonts w:asciiTheme="minorHAnsi" w:eastAsia="Arial Unicode MS" w:hAnsiTheme="minorHAnsi" w:cstheme="minorHAnsi"/>
                <w:color w:val="000000" w:themeColor="text1"/>
                <w:sz w:val="22"/>
                <w:szCs w:val="22"/>
              </w:rPr>
              <w:t>released for each new academic year</w:t>
            </w:r>
            <w:r w:rsidR="0084214B">
              <w:rPr>
                <w:rFonts w:asciiTheme="minorHAnsi" w:eastAsia="Arial Unicode MS" w:hAnsiTheme="minorHAnsi" w:cstheme="minorHAnsi"/>
                <w:color w:val="000000" w:themeColor="text1"/>
                <w:sz w:val="22"/>
                <w:szCs w:val="22"/>
              </w:rPr>
              <w:t>)</w:t>
            </w:r>
            <w:r>
              <w:rPr>
                <w:rFonts w:asciiTheme="minorHAnsi" w:eastAsia="Arial Unicode MS" w:hAnsiTheme="minorHAnsi" w:cstheme="minorHAnsi"/>
                <w:color w:val="000000" w:themeColor="text1"/>
                <w:sz w:val="22"/>
                <w:szCs w:val="22"/>
              </w:rPr>
              <w:t xml:space="preserve"> alongside these reflections</w:t>
            </w:r>
            <w:r w:rsidR="0084214B">
              <w:rPr>
                <w:rFonts w:asciiTheme="minorHAnsi" w:eastAsia="Arial Unicode MS" w:hAnsiTheme="minorHAnsi" w:cstheme="minorHAnsi"/>
                <w:color w:val="000000" w:themeColor="text1"/>
                <w:sz w:val="22"/>
                <w:szCs w:val="22"/>
              </w:rPr>
              <w:t xml:space="preserve">, the </w:t>
            </w:r>
            <w:r>
              <w:rPr>
                <w:rFonts w:asciiTheme="minorHAnsi" w:eastAsia="Arial Unicode MS" w:hAnsiTheme="minorHAnsi" w:cstheme="minorHAnsi"/>
                <w:color w:val="000000" w:themeColor="text1"/>
                <w:sz w:val="22"/>
                <w:szCs w:val="22"/>
              </w:rPr>
              <w:t>ex</w:t>
            </w:r>
            <w:r w:rsidR="0084214B">
              <w:rPr>
                <w:rFonts w:asciiTheme="minorHAnsi" w:eastAsia="Arial Unicode MS" w:hAnsiTheme="minorHAnsi" w:cstheme="minorHAnsi"/>
                <w:color w:val="000000" w:themeColor="text1"/>
                <w:sz w:val="22"/>
                <w:szCs w:val="22"/>
              </w:rPr>
              <w:t>perience gained and best practice</w:t>
            </w:r>
            <w:r>
              <w:rPr>
                <w:rFonts w:asciiTheme="minorHAnsi" w:eastAsia="Arial Unicode MS" w:hAnsiTheme="minorHAnsi" w:cstheme="minorHAnsi"/>
                <w:color w:val="000000" w:themeColor="text1"/>
                <w:sz w:val="22"/>
                <w:szCs w:val="22"/>
              </w:rPr>
              <w:t xml:space="preserve">.   </w:t>
            </w:r>
          </w:p>
          <w:p w14:paraId="3EE8EC97" w14:textId="77777777" w:rsidR="00EB2CD0" w:rsidRDefault="00EB2CD0" w:rsidP="00C90C73">
            <w:pPr>
              <w:jc w:val="both"/>
              <w:rPr>
                <w:rFonts w:asciiTheme="minorHAnsi" w:eastAsia="Arial Unicode MS" w:hAnsiTheme="minorHAnsi" w:cstheme="minorHAnsi"/>
                <w:color w:val="000000" w:themeColor="text1"/>
                <w:sz w:val="22"/>
                <w:szCs w:val="22"/>
              </w:rPr>
            </w:pPr>
          </w:p>
          <w:p w14:paraId="08C91FFF" w14:textId="77777777" w:rsidR="0074030C" w:rsidRPr="00EB2CD0" w:rsidRDefault="00EB2CD0" w:rsidP="00C90C73">
            <w:pPr>
              <w:jc w:val="both"/>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Th</w:t>
            </w:r>
            <w:r w:rsidR="00AD1CDC">
              <w:rPr>
                <w:rFonts w:asciiTheme="minorHAnsi" w:eastAsia="Arial Unicode MS" w:hAnsiTheme="minorHAnsi" w:cstheme="minorHAnsi"/>
                <w:color w:val="000000" w:themeColor="text1"/>
                <w:sz w:val="22"/>
                <w:szCs w:val="22"/>
              </w:rPr>
              <w:t>e policy will be reviewed annually.</w:t>
            </w:r>
          </w:p>
        </w:tc>
      </w:tr>
    </w:tbl>
    <w:p w14:paraId="0CA893C4" w14:textId="77777777" w:rsidR="0074030C" w:rsidRPr="00C7792D" w:rsidRDefault="0074030C" w:rsidP="00E017CA">
      <w:pPr>
        <w:rPr>
          <w:rFonts w:asciiTheme="minorHAnsi" w:eastAsia="Arial Unicode MS" w:hAnsiTheme="minorHAnsi" w:cstheme="minorHAnsi"/>
          <w:b/>
          <w:color w:val="000000" w:themeColor="text1"/>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487CAB36" w14:textId="77777777" w:rsidTr="00E90D96">
        <w:trPr>
          <w:trHeight w:val="299"/>
        </w:trPr>
        <w:tc>
          <w:tcPr>
            <w:tcW w:w="9214" w:type="dxa"/>
            <w:shd w:val="clear" w:color="auto" w:fill="9CC2E5"/>
            <w:tcMar>
              <w:left w:w="57" w:type="dxa"/>
            </w:tcMar>
            <w:vAlign w:val="center"/>
          </w:tcPr>
          <w:p w14:paraId="3A396FA4"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t>Associated Information and Guidance</w:t>
            </w:r>
          </w:p>
        </w:tc>
      </w:tr>
      <w:tr w:rsidR="0074030C" w:rsidRPr="00C7792D" w14:paraId="2C5A4D88" w14:textId="77777777" w:rsidTr="00F96BF5">
        <w:tc>
          <w:tcPr>
            <w:tcW w:w="9214" w:type="dxa"/>
            <w:shd w:val="clear" w:color="auto" w:fill="auto"/>
            <w:vAlign w:val="center"/>
          </w:tcPr>
          <w:p w14:paraId="71C11F24" w14:textId="77777777" w:rsidR="00447F00" w:rsidRPr="00C7792D" w:rsidRDefault="00447F00" w:rsidP="00E017CA">
            <w:pPr>
              <w:rPr>
                <w:rFonts w:asciiTheme="minorHAnsi" w:eastAsia="Arial Unicode MS" w:hAnsiTheme="minorHAnsi" w:cstheme="minorHAnsi"/>
                <w:color w:val="000000" w:themeColor="text1"/>
                <w:sz w:val="22"/>
                <w:szCs w:val="22"/>
              </w:rPr>
            </w:pPr>
          </w:p>
          <w:p w14:paraId="18D490D5" w14:textId="77777777" w:rsidR="00447F00" w:rsidRPr="00C7792D" w:rsidRDefault="00447F00" w:rsidP="00C90C73">
            <w:pPr>
              <w:jc w:val="both"/>
              <w:rPr>
                <w:rFonts w:asciiTheme="minorHAnsi" w:eastAsia="Arial Unicode MS" w:hAnsiTheme="minorHAnsi" w:cstheme="minorHAnsi"/>
                <w:color w:val="000000" w:themeColor="text1"/>
                <w:sz w:val="22"/>
                <w:szCs w:val="22"/>
              </w:rPr>
            </w:pPr>
            <w:r w:rsidRPr="00C7792D">
              <w:rPr>
                <w:rFonts w:asciiTheme="minorHAnsi" w:eastAsia="Arial Unicode MS" w:hAnsiTheme="minorHAnsi" w:cstheme="minorHAnsi"/>
                <w:color w:val="000000" w:themeColor="text1"/>
                <w:sz w:val="22"/>
                <w:szCs w:val="22"/>
              </w:rPr>
              <w:t>Equality Act 2010</w:t>
            </w:r>
          </w:p>
          <w:p w14:paraId="2DC4EC75" w14:textId="77777777" w:rsidR="0074030C" w:rsidRPr="00C7792D" w:rsidRDefault="0074030C" w:rsidP="00C90C73">
            <w:pPr>
              <w:jc w:val="both"/>
              <w:rPr>
                <w:rFonts w:asciiTheme="minorHAnsi" w:hAnsiTheme="minorHAnsi" w:cstheme="minorHAnsi"/>
                <w:sz w:val="22"/>
                <w:szCs w:val="22"/>
                <w:lang w:val="en-US"/>
              </w:rPr>
            </w:pPr>
          </w:p>
          <w:p w14:paraId="76B01D5E" w14:textId="77777777" w:rsidR="0074030C" w:rsidRDefault="00447F00" w:rsidP="00C90C73">
            <w:pPr>
              <w:jc w:val="both"/>
              <w:rPr>
                <w:rFonts w:asciiTheme="minorHAnsi" w:hAnsiTheme="minorHAnsi" w:cstheme="minorHAnsi"/>
                <w:sz w:val="22"/>
                <w:szCs w:val="22"/>
              </w:rPr>
            </w:pPr>
            <w:r w:rsidRPr="00C7792D">
              <w:rPr>
                <w:rFonts w:asciiTheme="minorHAnsi" w:hAnsiTheme="minorHAnsi" w:cstheme="minorHAnsi"/>
                <w:sz w:val="22"/>
                <w:szCs w:val="22"/>
              </w:rPr>
              <w:t xml:space="preserve">16-19 Bursary Fund Guide 2021 to 2022 academic year.  </w:t>
            </w:r>
            <w:hyperlink r:id="rId15" w:history="1">
              <w:r w:rsidRPr="00C7792D">
                <w:rPr>
                  <w:rStyle w:val="Hyperlink"/>
                  <w:rFonts w:asciiTheme="minorHAnsi" w:hAnsiTheme="minorHAnsi" w:cstheme="minorHAnsi"/>
                  <w:sz w:val="22"/>
                  <w:szCs w:val="22"/>
                </w:rPr>
                <w:t>www.gov.uk/education</w:t>
              </w:r>
            </w:hyperlink>
          </w:p>
          <w:p w14:paraId="5D638952" w14:textId="77777777" w:rsidR="00E90D96" w:rsidRDefault="001873A0" w:rsidP="00C90C73">
            <w:pPr>
              <w:jc w:val="both"/>
              <w:rPr>
                <w:rFonts w:asciiTheme="minorHAnsi" w:eastAsia="Arial Unicode MS" w:hAnsiTheme="minorHAnsi" w:cstheme="minorHAnsi"/>
                <w:color w:val="000000" w:themeColor="text1"/>
                <w:sz w:val="22"/>
                <w:szCs w:val="22"/>
              </w:rPr>
            </w:pPr>
            <w:hyperlink r:id="rId16" w:history="1">
              <w:r w:rsidR="008A67BD" w:rsidRPr="008A67BD">
                <w:rPr>
                  <w:rStyle w:val="Hyperlink"/>
                  <w:rFonts w:asciiTheme="minorHAnsi" w:eastAsia="Arial Unicode MS" w:hAnsiTheme="minorHAnsi" w:cstheme="minorHAnsi"/>
                  <w:sz w:val="22"/>
                  <w:szCs w:val="22"/>
                </w:rPr>
                <w:t>Free meals in further education funded institutions: guide for the 2021 to 2022 academic year</w:t>
              </w:r>
            </w:hyperlink>
          </w:p>
          <w:p w14:paraId="4E97F777" w14:textId="77777777" w:rsidR="008A67BD" w:rsidRDefault="008A67BD" w:rsidP="00C90C73">
            <w:pPr>
              <w:jc w:val="both"/>
              <w:rPr>
                <w:rFonts w:asciiTheme="minorHAnsi" w:eastAsia="Arial Unicode MS" w:hAnsiTheme="minorHAnsi" w:cstheme="minorHAnsi"/>
                <w:color w:val="000000" w:themeColor="text1"/>
                <w:sz w:val="22"/>
                <w:szCs w:val="22"/>
              </w:rPr>
            </w:pPr>
          </w:p>
          <w:p w14:paraId="36FD608E" w14:textId="77777777" w:rsidR="00E90D96" w:rsidRDefault="00E90D96" w:rsidP="00C90C73">
            <w:pPr>
              <w:jc w:val="both"/>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16 to 19 Bursary Checklist V2.0</w:t>
            </w:r>
          </w:p>
          <w:p w14:paraId="316DF6A3" w14:textId="77777777" w:rsidR="00E90D96" w:rsidRDefault="00E90D96" w:rsidP="00C90C73">
            <w:pPr>
              <w:jc w:val="both"/>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16-19 bursary summary of key funding rules</w:t>
            </w:r>
          </w:p>
          <w:p w14:paraId="629B96E4" w14:textId="77777777" w:rsidR="00C90C73" w:rsidRDefault="00C90C73" w:rsidP="00C90C73">
            <w:pPr>
              <w:jc w:val="both"/>
              <w:rPr>
                <w:rFonts w:asciiTheme="minorHAnsi" w:eastAsia="Arial Unicode MS" w:hAnsiTheme="minorHAnsi" w:cstheme="minorHAnsi"/>
                <w:color w:val="000000" w:themeColor="text1"/>
                <w:sz w:val="22"/>
                <w:szCs w:val="22"/>
              </w:rPr>
            </w:pPr>
          </w:p>
          <w:p w14:paraId="05F89434" w14:textId="77777777" w:rsidR="00C90C73" w:rsidRPr="00C7792D" w:rsidRDefault="00C90C73" w:rsidP="00C90C73">
            <w:pPr>
              <w:jc w:val="both"/>
              <w:rPr>
                <w:rFonts w:asciiTheme="minorHAnsi" w:eastAsia="Arial Unicode MS" w:hAnsiTheme="minorHAnsi" w:cstheme="minorHAnsi"/>
                <w:color w:val="000000" w:themeColor="text1"/>
                <w:sz w:val="22"/>
                <w:szCs w:val="22"/>
              </w:rPr>
            </w:pPr>
          </w:p>
        </w:tc>
      </w:tr>
    </w:tbl>
    <w:p w14:paraId="1F5D2E8E" w14:textId="77777777" w:rsidR="0074030C" w:rsidRPr="00C7792D" w:rsidRDefault="0074030C" w:rsidP="00E017CA">
      <w:pPr>
        <w:rPr>
          <w:rFonts w:asciiTheme="minorHAnsi" w:eastAsia="Arial Unicode MS" w:hAnsiTheme="minorHAnsi" w:cstheme="minorHAnsi"/>
          <w:b/>
          <w:color w:val="000000" w:themeColor="text1"/>
          <w:sz w:val="22"/>
          <w:szCs w:val="22"/>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C7792D" w14:paraId="3EAEA5A6" w14:textId="77777777" w:rsidTr="006F3314">
        <w:trPr>
          <w:trHeight w:val="299"/>
        </w:trPr>
        <w:tc>
          <w:tcPr>
            <w:tcW w:w="9214" w:type="dxa"/>
            <w:shd w:val="clear" w:color="auto" w:fill="9CC2E5"/>
            <w:tcMar>
              <w:left w:w="57" w:type="dxa"/>
            </w:tcMar>
            <w:vAlign w:val="center"/>
          </w:tcPr>
          <w:p w14:paraId="54CFB063" w14:textId="77777777" w:rsidR="0074030C" w:rsidRPr="00C7792D" w:rsidRDefault="0074030C" w:rsidP="00E017CA">
            <w:pPr>
              <w:rPr>
                <w:rFonts w:asciiTheme="minorHAnsi" w:eastAsia="Arial Unicode MS" w:hAnsiTheme="minorHAnsi" w:cstheme="minorHAnsi"/>
                <w:b/>
                <w:color w:val="000000" w:themeColor="text1"/>
                <w:sz w:val="22"/>
                <w:szCs w:val="22"/>
              </w:rPr>
            </w:pPr>
            <w:r w:rsidRPr="00C7792D">
              <w:rPr>
                <w:rFonts w:asciiTheme="minorHAnsi" w:eastAsia="Arial Unicode MS" w:hAnsiTheme="minorHAnsi" w:cstheme="minorHAnsi"/>
                <w:b/>
                <w:color w:val="000000" w:themeColor="text1"/>
                <w:sz w:val="22"/>
                <w:szCs w:val="22"/>
              </w:rPr>
              <w:lastRenderedPageBreak/>
              <w:t>Related Documents</w:t>
            </w:r>
          </w:p>
        </w:tc>
      </w:tr>
    </w:tbl>
    <w:p w14:paraId="4D15A96B" w14:textId="77777777" w:rsidR="00F96BF5" w:rsidRDefault="00F96BF5" w:rsidP="00E017CA">
      <w:pPr>
        <w:tabs>
          <w:tab w:val="left" w:pos="1418"/>
          <w:tab w:val="right" w:pos="10206"/>
        </w:tabs>
        <w:rPr>
          <w:rFonts w:asciiTheme="minorHAnsi" w:eastAsia="Arial Unicode MS" w:hAnsiTheme="minorHAnsi" w:cstheme="minorHAnsi"/>
          <w:color w:val="000000" w:themeColor="text1"/>
          <w:sz w:val="22"/>
          <w:szCs w:val="22"/>
        </w:rPr>
      </w:pPr>
    </w:p>
    <w:p w14:paraId="53115F16" w14:textId="77777777" w:rsidR="00484C9D" w:rsidRDefault="00860BDF" w:rsidP="00E017CA">
      <w:pPr>
        <w:tabs>
          <w:tab w:val="left" w:pos="1418"/>
          <w:tab w:val="right" w:pos="102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Complaints Policy</w:t>
      </w:r>
    </w:p>
    <w:p w14:paraId="5C79BA70" w14:textId="77777777" w:rsidR="00860BDF" w:rsidRDefault="00860BDF">
      <w:pPr>
        <w:spacing w:after="200" w:line="276" w:lineRule="auto"/>
        <w:rPr>
          <w:rFonts w:asciiTheme="minorHAnsi" w:eastAsia="Arial Unicode MS" w:hAnsiTheme="minorHAnsi" w:cstheme="minorHAnsi"/>
          <w:sz w:val="22"/>
          <w:szCs w:val="22"/>
        </w:rPr>
      </w:pPr>
      <w:r>
        <w:rPr>
          <w:rFonts w:asciiTheme="minorHAnsi" w:eastAsia="Arial Unicode MS" w:hAnsiTheme="minorHAnsi" w:cstheme="minorHAnsi"/>
          <w:sz w:val="22"/>
          <w:szCs w:val="22"/>
        </w:rPr>
        <w:t>SEND Policy</w:t>
      </w:r>
      <w:r>
        <w:rPr>
          <w:rFonts w:asciiTheme="minorHAnsi" w:eastAsia="Arial Unicode MS" w:hAnsiTheme="minorHAnsi" w:cstheme="minorHAnsi"/>
          <w:sz w:val="22"/>
          <w:szCs w:val="22"/>
        </w:rPr>
        <w:br w:type="page"/>
      </w:r>
    </w:p>
    <w:p w14:paraId="44F246A9" w14:textId="77777777" w:rsidR="006F3314" w:rsidRDefault="006F3314" w:rsidP="00E017CA">
      <w:pPr>
        <w:tabs>
          <w:tab w:val="left" w:pos="1418"/>
          <w:tab w:val="right" w:pos="10206"/>
        </w:tabs>
        <w:rPr>
          <w:rFonts w:asciiTheme="minorHAnsi" w:eastAsia="Arial Unicode MS" w:hAnsiTheme="minorHAnsi" w:cstheme="minorHAnsi"/>
          <w:sz w:val="22"/>
          <w:szCs w:val="22"/>
        </w:rPr>
      </w:pPr>
    </w:p>
    <w:p w14:paraId="1D8D916C" w14:textId="77777777" w:rsidR="006F3314" w:rsidRDefault="006F3314" w:rsidP="006F3314">
      <w:r>
        <w:t>Bursary Application Process</w:t>
      </w:r>
    </w:p>
    <w:p w14:paraId="5B108F69" w14:textId="77777777" w:rsidR="006F3314" w:rsidRDefault="006F3314" w:rsidP="006F3314">
      <w:pPr>
        <w:rPr>
          <w:sz w:val="22"/>
          <w:szCs w:val="22"/>
        </w:rPr>
      </w:pPr>
    </w:p>
    <w:p w14:paraId="255A8B4F" w14:textId="77777777" w:rsidR="006F3314" w:rsidRDefault="006F3314" w:rsidP="006F3314">
      <w:r>
        <w:rPr>
          <w:noProof/>
          <w:lang w:eastAsia="en-GB"/>
        </w:rPr>
        <mc:AlternateContent>
          <mc:Choice Requires="wps">
            <w:drawing>
              <wp:anchor distT="0" distB="0" distL="114300" distR="114300" simplePos="0" relativeHeight="251662336" behindDoc="0" locked="0" layoutInCell="1" allowOverlap="1" wp14:anchorId="4A72D046" wp14:editId="31ACD789">
                <wp:simplePos x="0" y="0"/>
                <wp:positionH relativeFrom="margin">
                  <wp:align>left</wp:align>
                </wp:positionH>
                <wp:positionV relativeFrom="paragraph">
                  <wp:posOffset>11430</wp:posOffset>
                </wp:positionV>
                <wp:extent cx="298132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813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CF6970" w14:textId="77777777" w:rsidR="006F3314" w:rsidRDefault="006F3314" w:rsidP="006F3314">
                            <w:pPr>
                              <w:jc w:val="center"/>
                            </w:pPr>
                            <w:r>
                              <w:t>Students are encouraged to apply during the enrolment process and at any time of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AFA188" id="Rectangle 7" o:spid="_x0000_s1026" style="position:absolute;margin-left:0;margin-top:.9pt;width:234.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" fillcolor="#4f81bd [3204]" strokecolor="#243f60 [1604]" strokeweight="2pt">
                <v:textbox>
                  <w:txbxContent>
                    <w:p w:rsidR="006F3314" w:rsidRDefault="006F3314" w:rsidP="006F3314">
                      <w:pPr>
                        <w:jc w:val="center"/>
                      </w:pPr>
                      <w:r>
                        <w:t>Students are encouraged to apply during the enrolment process and at any time of year.</w:t>
                      </w:r>
                    </w:p>
                  </w:txbxContent>
                </v:textbox>
                <w10:wrap anchorx="margin"/>
              </v:rect>
            </w:pict>
          </mc:Fallback>
        </mc:AlternateContent>
      </w:r>
      <w:r>
        <w:rPr>
          <w:noProof/>
          <w:lang w:eastAsia="en-GB"/>
        </w:rPr>
        <mc:AlternateContent>
          <mc:Choice Requires="wps">
            <w:drawing>
              <wp:anchor distT="0" distB="0" distL="114300" distR="114300" simplePos="0" relativeHeight="251668480" behindDoc="0" locked="0" layoutInCell="1" allowOverlap="1" wp14:anchorId="4ED56EE5" wp14:editId="6D0C3602">
                <wp:simplePos x="0" y="0"/>
                <wp:positionH relativeFrom="column">
                  <wp:posOffset>1228725</wp:posOffset>
                </wp:positionH>
                <wp:positionV relativeFrom="paragraph">
                  <wp:posOffset>505460</wp:posOffset>
                </wp:positionV>
                <wp:extent cx="0" cy="361950"/>
                <wp:effectExtent l="76200" t="0" r="76200" b="57150"/>
                <wp:wrapNone/>
                <wp:docPr id="8" name="Straight Arrow Connector 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202FEEF" id="_x0000_t32" coordsize="21600,21600" o:spt="32" o:oned="t" path="m,l21600,21600e" filled="f">
                <v:path arrowok="t" fillok="f" o:connecttype="none"/>
                <o:lock v:ext="edit" shapetype="t"/>
              </v:shapetype>
              <v:shape id="Straight Arrow Connector 8" o:spid="_x0000_s1026" type="#_x0000_t32" style="position:absolute;margin-left:96.75pt;margin-top:39.8pt;width:0;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" strokecolor="#4579b8 [3044]">
                <v:stroke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880DD5F" wp14:editId="52B935B1">
                <wp:simplePos x="0" y="0"/>
                <wp:positionH relativeFrom="column">
                  <wp:posOffset>1228725</wp:posOffset>
                </wp:positionH>
                <wp:positionV relativeFrom="paragraph">
                  <wp:posOffset>1315085</wp:posOffset>
                </wp:positionV>
                <wp:extent cx="0" cy="36195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EA3EFD" id="Straight Arrow Connector 9" o:spid="_x0000_s1026" type="#_x0000_t32" style="position:absolute;margin-left:96.75pt;margin-top:103.55pt;width:0;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" strokecolor="#4579b8 [3044]">
                <v:stroke endarrow="block"/>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64D9946" wp14:editId="09FDE155">
                <wp:simplePos x="0" y="0"/>
                <wp:positionH relativeFrom="column">
                  <wp:posOffset>1238250</wp:posOffset>
                </wp:positionH>
                <wp:positionV relativeFrom="paragraph">
                  <wp:posOffset>2143760</wp:posOffset>
                </wp:positionV>
                <wp:extent cx="0" cy="36195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826B45" id="Straight Arrow Connector 12" o:spid="_x0000_s1026" type="#_x0000_t32" style="position:absolute;margin-left:97.5pt;margin-top:168.8pt;width:0;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" strokecolor="#4579b8 [3044]">
                <v:stroke endarrow="block"/>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BBA379E" wp14:editId="61F49C03">
                <wp:simplePos x="0" y="0"/>
                <wp:positionH relativeFrom="column">
                  <wp:posOffset>1247775</wp:posOffset>
                </wp:positionH>
                <wp:positionV relativeFrom="paragraph">
                  <wp:posOffset>2972435</wp:posOffset>
                </wp:positionV>
                <wp:extent cx="0" cy="36195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EF930" id="Straight Arrow Connector 13" o:spid="_x0000_s1026" type="#_x0000_t32" style="position:absolute;margin-left:98.25pt;margin-top:234.05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" strokecolor="#4579b8 [3044]">
                <v:stroke endarrow="block"/>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012036C" wp14:editId="4E1A0207">
                <wp:simplePos x="0" y="0"/>
                <wp:positionH relativeFrom="column">
                  <wp:posOffset>2981325</wp:posOffset>
                </wp:positionH>
                <wp:positionV relativeFrom="paragraph">
                  <wp:posOffset>1941195</wp:posOffset>
                </wp:positionV>
                <wp:extent cx="533400" cy="45720"/>
                <wp:effectExtent l="0" t="57150" r="19050" b="49530"/>
                <wp:wrapNone/>
                <wp:docPr id="14" name="Straight Arrow Connector 14"/>
                <wp:cNvGraphicFramePr/>
                <a:graphic xmlns:a="http://schemas.openxmlformats.org/drawingml/2006/main">
                  <a:graphicData uri="http://schemas.microsoft.com/office/word/2010/wordprocessingShape">
                    <wps:wsp>
                      <wps:cNvCnPr/>
                      <wps:spPr>
                        <a:xfrm flipV="1">
                          <a:off x="0" y="0"/>
                          <a:ext cx="53340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5118E" id="Straight Arrow Connector 14" o:spid="_x0000_s1026" type="#_x0000_t32" style="position:absolute;margin-left:234.75pt;margin-top:152.85pt;width:42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" strokecolor="#4579b8 [3044]">
                <v:stroke endarrow="block"/>
              </v:shape>
            </w:pict>
          </mc:Fallback>
        </mc:AlternateContent>
      </w:r>
    </w:p>
    <w:p w14:paraId="1D9F1936" w14:textId="77777777" w:rsidR="006F3314" w:rsidRDefault="006F3314" w:rsidP="006F3314"/>
    <w:p w14:paraId="7B96F957" w14:textId="77777777" w:rsidR="006F3314" w:rsidRPr="00C7792D" w:rsidRDefault="00860BDF" w:rsidP="00E017CA">
      <w:pPr>
        <w:tabs>
          <w:tab w:val="left" w:pos="1418"/>
          <w:tab w:val="right" w:pos="10206"/>
        </w:tabs>
        <w:rPr>
          <w:rFonts w:asciiTheme="minorHAnsi" w:eastAsia="Arial Unicode MS" w:hAnsiTheme="minorHAnsi" w:cstheme="minorHAnsi"/>
          <w:sz w:val="22"/>
          <w:szCs w:val="22"/>
        </w:rPr>
      </w:pPr>
      <w:r>
        <w:rPr>
          <w:noProof/>
          <w:lang w:eastAsia="en-GB"/>
        </w:rPr>
        <mc:AlternateContent>
          <mc:Choice Requires="wps">
            <w:drawing>
              <wp:anchor distT="0" distB="0" distL="114300" distR="114300" simplePos="0" relativeHeight="251667456" behindDoc="0" locked="0" layoutInCell="1" allowOverlap="1" wp14:anchorId="56CC9E6F" wp14:editId="02E6F247">
                <wp:simplePos x="0" y="0"/>
                <wp:positionH relativeFrom="margin">
                  <wp:align>left</wp:align>
                </wp:positionH>
                <wp:positionV relativeFrom="paragraph">
                  <wp:posOffset>3005786</wp:posOffset>
                </wp:positionV>
                <wp:extent cx="3514725" cy="763326"/>
                <wp:effectExtent l="0" t="0" r="28575" b="17780"/>
                <wp:wrapNone/>
                <wp:docPr id="6" name="Rectangle 6"/>
                <wp:cNvGraphicFramePr/>
                <a:graphic xmlns:a="http://schemas.openxmlformats.org/drawingml/2006/main">
                  <a:graphicData uri="http://schemas.microsoft.com/office/word/2010/wordprocessingShape">
                    <wps:wsp>
                      <wps:cNvSpPr/>
                      <wps:spPr>
                        <a:xfrm>
                          <a:off x="0" y="0"/>
                          <a:ext cx="3514725" cy="7633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7C791" w14:textId="77777777" w:rsidR="006F3314" w:rsidRDefault="006F3314" w:rsidP="006F3314">
                            <w:pPr>
                              <w:jc w:val="center"/>
                            </w:pPr>
                            <w:r>
                              <w:t xml:space="preserve">The value of the award and the types of support to be funded is accessed </w:t>
                            </w:r>
                            <w:r w:rsidR="00860BDF">
                              <w:t>and communicated to the student, including meals where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9D683" id="Rectangle 6" o:spid="_x0000_s1027" style="position:absolute;margin-left:0;margin-top:236.7pt;width:276.75pt;height:60.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" fillcolor="#4f81bd [3204]" strokecolor="#243f60 [1604]" strokeweight="2pt">
                <v:textbox>
                  <w:txbxContent>
                    <w:p w:rsidR="006F3314" w:rsidRDefault="006F3314" w:rsidP="006F3314">
                      <w:pPr>
                        <w:jc w:val="center"/>
                      </w:pPr>
                      <w:r>
                        <w:t xml:space="preserve">The value of the award and the types of support to be funded is accessed </w:t>
                      </w:r>
                      <w:r w:rsidR="00860BDF">
                        <w:t>and communicated to the student, including meals where eligible.</w:t>
                      </w:r>
                    </w:p>
                  </w:txbxContent>
                </v:textbox>
                <w10:wrap anchorx="margin"/>
              </v:rect>
            </w:pict>
          </mc:Fallback>
        </mc:AlternateContent>
      </w:r>
      <w:r>
        <w:rPr>
          <w:noProof/>
          <w:lang w:eastAsia="en-GB"/>
        </w:rPr>
        <mc:AlternateContent>
          <mc:Choice Requires="wps">
            <w:drawing>
              <wp:anchor distT="0" distB="0" distL="114300" distR="114300" simplePos="0" relativeHeight="251665408" behindDoc="0" locked="0" layoutInCell="1" allowOverlap="1" wp14:anchorId="70E93B1F" wp14:editId="3E8E1059">
                <wp:simplePos x="0" y="0"/>
                <wp:positionH relativeFrom="margin">
                  <wp:align>left</wp:align>
                </wp:positionH>
                <wp:positionV relativeFrom="paragraph">
                  <wp:posOffset>2178851</wp:posOffset>
                </wp:positionV>
                <wp:extent cx="3467100" cy="477078"/>
                <wp:effectExtent l="0" t="0" r="19050" b="18415"/>
                <wp:wrapNone/>
                <wp:docPr id="4" name="Rectangle 4"/>
                <wp:cNvGraphicFramePr/>
                <a:graphic xmlns:a="http://schemas.openxmlformats.org/drawingml/2006/main">
                  <a:graphicData uri="http://schemas.microsoft.com/office/word/2010/wordprocessingShape">
                    <wps:wsp>
                      <wps:cNvSpPr/>
                      <wps:spPr>
                        <a:xfrm>
                          <a:off x="0" y="0"/>
                          <a:ext cx="3467100" cy="4770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47AE36" w14:textId="77777777" w:rsidR="006F3314" w:rsidRDefault="006F3314" w:rsidP="006F3314">
                            <w:pPr>
                              <w:jc w:val="center"/>
                            </w:pPr>
                            <w:r>
                              <w:t>The application and evidence is assessed and placed into a category – Vulnerable or Discretionary.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43CE6" id="Rectangle 4" o:spid="_x0000_s1028" style="position:absolute;margin-left:0;margin-top:171.55pt;width:273pt;height:37.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" fillcolor="#4f81bd [3204]" strokecolor="#243f60 [1604]" strokeweight="2pt">
                <v:textbox>
                  <w:txbxContent>
                    <w:p w:rsidR="006F3314" w:rsidRDefault="006F3314" w:rsidP="006F3314">
                      <w:pPr>
                        <w:jc w:val="center"/>
                      </w:pPr>
                      <w:r>
                        <w:t>The application and evidence is assessed and placed into a category – Vulnerable or Discretionary.</w:t>
                      </w:r>
                    </w:p>
                  </w:txbxContent>
                </v:textbox>
                <w10:wrap anchorx="margin"/>
              </v:rect>
            </w:pict>
          </mc:Fallback>
        </mc:AlternateContent>
      </w:r>
      <w:r>
        <w:rPr>
          <w:noProof/>
          <w:lang w:eastAsia="en-GB"/>
        </w:rPr>
        <mc:AlternateContent>
          <mc:Choice Requires="wps">
            <w:drawing>
              <wp:anchor distT="0" distB="0" distL="114300" distR="114300" simplePos="0" relativeHeight="251666432" behindDoc="0" locked="0" layoutInCell="1" allowOverlap="1" wp14:anchorId="6B15E917" wp14:editId="429C117D">
                <wp:simplePos x="0" y="0"/>
                <wp:positionH relativeFrom="column">
                  <wp:posOffset>3512544</wp:posOffset>
                </wp:positionH>
                <wp:positionV relativeFrom="paragraph">
                  <wp:posOffset>1375769</wp:posOffset>
                </wp:positionV>
                <wp:extent cx="2790908" cy="485029"/>
                <wp:effectExtent l="0" t="0" r="28575" b="10795"/>
                <wp:wrapNone/>
                <wp:docPr id="1" name="Rectangle 1"/>
                <wp:cNvGraphicFramePr/>
                <a:graphic xmlns:a="http://schemas.openxmlformats.org/drawingml/2006/main">
                  <a:graphicData uri="http://schemas.microsoft.com/office/word/2010/wordprocessingShape">
                    <wps:wsp>
                      <wps:cNvSpPr/>
                      <wps:spPr>
                        <a:xfrm>
                          <a:off x="0" y="0"/>
                          <a:ext cx="2790908" cy="4850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D1DAE" w14:textId="77777777" w:rsidR="006F3314" w:rsidRDefault="006F3314" w:rsidP="006F3314">
                            <w:pPr>
                              <w:jc w:val="center"/>
                            </w:pPr>
                            <w:r>
                              <w:t xml:space="preserve">If </w:t>
                            </w:r>
                            <w:r w:rsidR="00860BDF">
                              <w:t xml:space="preserve">a copy of </w:t>
                            </w:r>
                            <w:r>
                              <w:t>the evidence can’t be retained for 6 years the application is rejected.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11215E" id="Rectangle 1" o:spid="_x0000_s1029" style="position:absolute;margin-left:276.6pt;margin-top:108.35pt;width:219.7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" fillcolor="#4f81bd [3204]" strokecolor="#243f60 [1604]" strokeweight="2pt">
                <v:textbox>
                  <w:txbxContent>
                    <w:p w:rsidR="006F3314" w:rsidRDefault="006F3314" w:rsidP="006F3314">
                      <w:pPr>
                        <w:jc w:val="center"/>
                      </w:pPr>
                      <w:r>
                        <w:t xml:space="preserve">If </w:t>
                      </w:r>
                      <w:r w:rsidR="00860BDF">
                        <w:t xml:space="preserve">a copy of </w:t>
                      </w:r>
                      <w:r>
                        <w:t>the evidence can’t be retained for 6 years the application is rejected.</w:t>
                      </w:r>
                    </w:p>
                  </w:txbxContent>
                </v:textbox>
              </v:rect>
            </w:pict>
          </mc:Fallback>
        </mc:AlternateContent>
      </w:r>
      <w:r w:rsidR="006F3314">
        <w:rPr>
          <w:noProof/>
          <w:lang w:eastAsia="en-GB"/>
        </w:rPr>
        <mc:AlternateContent>
          <mc:Choice Requires="wps">
            <w:drawing>
              <wp:anchor distT="0" distB="0" distL="114300" distR="114300" simplePos="0" relativeHeight="251664384" behindDoc="0" locked="0" layoutInCell="1" allowOverlap="1" wp14:anchorId="7857C53E" wp14:editId="5A36DDBF">
                <wp:simplePos x="0" y="0"/>
                <wp:positionH relativeFrom="margin">
                  <wp:align>left</wp:align>
                </wp:positionH>
                <wp:positionV relativeFrom="paragraph">
                  <wp:posOffset>1346835</wp:posOffset>
                </wp:positionV>
                <wp:extent cx="3028950" cy="557213"/>
                <wp:effectExtent l="0" t="0" r="19050" b="14605"/>
                <wp:wrapNone/>
                <wp:docPr id="3" name="Rectangle 3"/>
                <wp:cNvGraphicFramePr/>
                <a:graphic xmlns:a="http://schemas.openxmlformats.org/drawingml/2006/main">
                  <a:graphicData uri="http://schemas.microsoft.com/office/word/2010/wordprocessingShape">
                    <wps:wsp>
                      <wps:cNvSpPr/>
                      <wps:spPr>
                        <a:xfrm>
                          <a:off x="0" y="0"/>
                          <a:ext cx="3028950" cy="5572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DB0D3" w14:textId="77777777" w:rsidR="006F3314" w:rsidRDefault="006F3314" w:rsidP="006F3314">
                            <w:pPr>
                              <w:jc w:val="center"/>
                            </w:pPr>
                            <w:r>
                              <w:t>Students and parents complete the application form and provide the evidence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F3796" id="Rectangle 3" o:spid="_x0000_s1030" style="position:absolute;margin-left:0;margin-top:106.05pt;width:238.5pt;height:4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" fillcolor="#4f81bd [3204]" strokecolor="#243f60 [1604]" strokeweight="2pt">
                <v:textbox>
                  <w:txbxContent>
                    <w:p w:rsidR="006F3314" w:rsidRDefault="006F3314" w:rsidP="006F3314">
                      <w:pPr>
                        <w:jc w:val="center"/>
                      </w:pPr>
                      <w:r>
                        <w:t>Students and parents complete the application form and provide the evidence required.</w:t>
                      </w:r>
                    </w:p>
                  </w:txbxContent>
                </v:textbox>
                <w10:wrap anchorx="margin"/>
              </v:rect>
            </w:pict>
          </mc:Fallback>
        </mc:AlternateContent>
      </w:r>
      <w:r w:rsidR="006F3314">
        <w:rPr>
          <w:noProof/>
          <w:lang w:eastAsia="en-GB"/>
        </w:rPr>
        <mc:AlternateContent>
          <mc:Choice Requires="wps">
            <w:drawing>
              <wp:anchor distT="0" distB="0" distL="114300" distR="114300" simplePos="0" relativeHeight="251663360" behindDoc="0" locked="0" layoutInCell="1" allowOverlap="1" wp14:anchorId="05E5DCE7" wp14:editId="5E584EB3">
                <wp:simplePos x="0" y="0"/>
                <wp:positionH relativeFrom="margin">
                  <wp:align>left</wp:align>
                </wp:positionH>
                <wp:positionV relativeFrom="paragraph">
                  <wp:posOffset>499110</wp:posOffset>
                </wp:positionV>
                <wp:extent cx="2990850" cy="466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9908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D4390F" w14:textId="77777777" w:rsidR="006F3314" w:rsidRDefault="006F3314" w:rsidP="006F3314">
                            <w:pPr>
                              <w:jc w:val="center"/>
                            </w:pPr>
                            <w:r>
                              <w:t>Students and parents access the guidance documents and application forms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D4B9F7" id="Rectangle 2" o:spid="_x0000_s1031" style="position:absolute;margin-left:0;margin-top:39.3pt;width:235.5pt;height:3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" fillcolor="#4f81bd [3204]" strokecolor="#243f60 [1604]" strokeweight="2pt">
                <v:textbox>
                  <w:txbxContent>
                    <w:p w:rsidR="006F3314" w:rsidRDefault="006F3314" w:rsidP="006F3314">
                      <w:pPr>
                        <w:jc w:val="center"/>
                      </w:pPr>
                      <w:r>
                        <w:t>Students and parents access the guidance documents and application forms on-line.</w:t>
                      </w:r>
                    </w:p>
                  </w:txbxContent>
                </v:textbox>
                <w10:wrap anchorx="margin"/>
              </v:rect>
            </w:pict>
          </mc:Fallback>
        </mc:AlternateContent>
      </w:r>
    </w:p>
    <w:sectPr w:rsidR="006F3314" w:rsidRPr="00C7792D" w:rsidSect="00450D46">
      <w:footerReference w:type="default" r:id="rId17"/>
      <w:footerReference w:type="first" r:id="rId18"/>
      <w:pgSz w:w="11909" w:h="16834" w:code="9"/>
      <w:pgMar w:top="1418" w:right="1418" w:bottom="1588"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3A9C" w14:textId="77777777" w:rsidR="00331FA3" w:rsidRDefault="00331FA3" w:rsidP="00A014F7">
      <w:r>
        <w:separator/>
      </w:r>
    </w:p>
  </w:endnote>
  <w:endnote w:type="continuationSeparator" w:id="0">
    <w:p w14:paraId="3B25FE8A" w14:textId="77777777" w:rsidR="00331FA3" w:rsidRDefault="00331FA3"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63"/>
    </w:tblGrid>
    <w:tr w:rsidR="00F96BF5" w14:paraId="23ABC574" w14:textId="77777777" w:rsidTr="00F96BF5">
      <w:trPr>
        <w:trHeight w:val="425"/>
      </w:trPr>
      <w:tc>
        <w:tcPr>
          <w:tcW w:w="9063" w:type="dxa"/>
          <w:shd w:val="clear" w:color="auto" w:fill="17365D" w:themeFill="text2" w:themeFillShade="BF"/>
          <w:vAlign w:val="center"/>
        </w:tcPr>
        <w:p w14:paraId="6ED605DC" w14:textId="77777777" w:rsidR="00F96BF5" w:rsidRPr="0079798D" w:rsidRDefault="00F96BF5" w:rsidP="00887AB4">
          <w:pPr>
            <w:pStyle w:val="Footer"/>
            <w:jc w:val="center"/>
            <w:rPr>
              <w:rFonts w:asciiTheme="minorHAnsi" w:hAnsiTheme="minorHAnsi" w:cstheme="minorHAnsi"/>
            </w:rPr>
          </w:pPr>
          <w:r w:rsidRPr="0079798D">
            <w:rPr>
              <w:rFonts w:asciiTheme="minorHAnsi" w:hAnsiTheme="minorHAnsi" w:cstheme="minorHAnsi"/>
            </w:rPr>
            <w:t>Delivering excellence and inspiring futures</w:t>
          </w:r>
        </w:p>
      </w:tc>
    </w:tr>
  </w:tbl>
  <w:p w14:paraId="0FC2C8C9" w14:textId="77777777" w:rsidR="00F96BF5" w:rsidRPr="00450D46" w:rsidRDefault="00F96BF5" w:rsidP="00887AB4">
    <w:pPr>
      <w:pStyle w:val="Footer"/>
      <w:rPr>
        <w:sz w:val="10"/>
      </w:rPr>
    </w:pPr>
  </w:p>
  <w:p w14:paraId="3E9D9219" w14:textId="77777777" w:rsidR="00F96BF5" w:rsidRPr="00887AB4" w:rsidRDefault="001873A0" w:rsidP="00887AB4">
    <w:pPr>
      <w:pStyle w:val="Footer"/>
      <w:tabs>
        <w:tab w:val="clear" w:pos="4320"/>
        <w:tab w:val="clear" w:pos="8640"/>
        <w:tab w:val="center" w:pos="4536"/>
        <w:tab w:val="right" w:pos="9044"/>
      </w:tabs>
      <w:rPr>
        <w:rFonts w:asciiTheme="minorHAnsi" w:hAnsiTheme="minorHAnsi" w:cstheme="minorHAnsi"/>
      </w:rPr>
    </w:pPr>
    <w:sdt>
      <w:sdtPr>
        <w:rPr>
          <w:rFonts w:asciiTheme="minorHAnsi" w:hAnsiTheme="minorHAnsi" w:cstheme="minorHAnsi"/>
          <w:sz w:val="18"/>
        </w:rPr>
        <w:id w:val="-1639872349"/>
        <w:docPartObj>
          <w:docPartGallery w:val="Page Numbers (Bottom of Page)"/>
          <w:docPartUnique/>
        </w:docPartObj>
      </w:sdtPr>
      <w:sdtEndPr>
        <w:rPr>
          <w:noProof/>
        </w:rPr>
      </w:sdtEndPr>
      <w:sdtContent>
        <w:r w:rsidR="00F96BF5" w:rsidRPr="00450D46">
          <w:rPr>
            <w:rFonts w:asciiTheme="minorHAnsi" w:hAnsiTheme="minorHAnsi" w:cstheme="minorHAnsi"/>
            <w:sz w:val="18"/>
          </w:rPr>
          <w:t>Potteries Educational Trust</w:t>
        </w:r>
        <w:r w:rsidR="00F96BF5" w:rsidRPr="00450D46">
          <w:rPr>
            <w:rFonts w:asciiTheme="minorHAnsi" w:hAnsiTheme="minorHAnsi" w:cstheme="minorHAnsi"/>
            <w:sz w:val="18"/>
          </w:rPr>
          <w:tab/>
          <w:t xml:space="preserve">Page </w:t>
        </w:r>
        <w:r w:rsidR="00F96BF5" w:rsidRPr="00450D46">
          <w:rPr>
            <w:rFonts w:asciiTheme="minorHAnsi" w:hAnsiTheme="minorHAnsi" w:cstheme="minorHAnsi"/>
            <w:sz w:val="18"/>
          </w:rPr>
          <w:fldChar w:fldCharType="begin"/>
        </w:r>
        <w:r w:rsidR="00F96BF5" w:rsidRPr="00450D46">
          <w:rPr>
            <w:rFonts w:asciiTheme="minorHAnsi" w:hAnsiTheme="minorHAnsi" w:cstheme="minorHAnsi"/>
            <w:sz w:val="18"/>
          </w:rPr>
          <w:instrText xml:space="preserve"> PAGE   \* MERGEFORMAT </w:instrText>
        </w:r>
        <w:r w:rsidR="00F96BF5" w:rsidRPr="00450D46">
          <w:rPr>
            <w:rFonts w:asciiTheme="minorHAnsi" w:hAnsiTheme="minorHAnsi" w:cstheme="minorHAnsi"/>
            <w:sz w:val="18"/>
          </w:rPr>
          <w:fldChar w:fldCharType="separate"/>
        </w:r>
        <w:r w:rsidR="0054740D" w:rsidRPr="0054740D">
          <w:rPr>
            <w:rFonts w:cstheme="minorHAnsi"/>
            <w:noProof/>
            <w:sz w:val="18"/>
          </w:rPr>
          <w:t>7</w:t>
        </w:r>
        <w:r w:rsidR="00F96BF5" w:rsidRPr="00450D46">
          <w:rPr>
            <w:rFonts w:asciiTheme="minorHAnsi" w:hAnsiTheme="minorHAnsi" w:cstheme="minorHAnsi"/>
            <w:noProof/>
            <w:sz w:val="18"/>
          </w:rPr>
          <w:fldChar w:fldCharType="end"/>
        </w:r>
      </w:sdtContent>
    </w:sdt>
    <w:r w:rsidR="00F96BF5" w:rsidRPr="00450D46">
      <w:rPr>
        <w:rFonts w:asciiTheme="minorHAnsi" w:hAnsiTheme="minorHAnsi" w:cstheme="minorHAnsi"/>
        <w:noProof/>
        <w:sz w:val="18"/>
      </w:rPr>
      <w:t xml:space="preserve"> of </w:t>
    </w:r>
    <w:r w:rsidR="00F96BF5" w:rsidRPr="00450D46">
      <w:rPr>
        <w:rFonts w:asciiTheme="minorHAnsi" w:hAnsiTheme="minorHAnsi" w:cstheme="minorHAnsi"/>
        <w:noProof/>
        <w:sz w:val="18"/>
      </w:rPr>
      <w:fldChar w:fldCharType="begin"/>
    </w:r>
    <w:r w:rsidR="00F96BF5" w:rsidRPr="00450D46">
      <w:rPr>
        <w:rFonts w:asciiTheme="minorHAnsi" w:hAnsiTheme="minorHAnsi" w:cstheme="minorHAnsi"/>
        <w:noProof/>
        <w:sz w:val="18"/>
      </w:rPr>
      <w:instrText xml:space="preserve"> NUMPAGES   \* MERGEFORMAT </w:instrText>
    </w:r>
    <w:r w:rsidR="00F96BF5" w:rsidRPr="00450D46">
      <w:rPr>
        <w:rFonts w:asciiTheme="minorHAnsi" w:hAnsiTheme="minorHAnsi" w:cstheme="minorHAnsi"/>
        <w:noProof/>
        <w:sz w:val="18"/>
      </w:rPr>
      <w:fldChar w:fldCharType="separate"/>
    </w:r>
    <w:r w:rsidR="0054740D" w:rsidRPr="0054740D">
      <w:rPr>
        <w:rFonts w:cstheme="minorHAnsi"/>
        <w:noProof/>
        <w:sz w:val="18"/>
      </w:rPr>
      <w:t>8</w:t>
    </w:r>
    <w:r w:rsidR="00F96BF5" w:rsidRPr="00450D46">
      <w:rPr>
        <w:rFonts w:asciiTheme="minorHAnsi" w:hAnsiTheme="minorHAnsi" w:cstheme="minorHAnsi"/>
        <w:noProof/>
        <w:sz w:val="18"/>
      </w:rPr>
      <w:fldChar w:fldCharType="end"/>
    </w:r>
    <w:r w:rsidR="00F96BF5" w:rsidRPr="00450D46">
      <w:rPr>
        <w:rFonts w:asciiTheme="minorHAnsi" w:hAnsiTheme="minorHAnsi" w:cstheme="minorHAnsi"/>
        <w:noProof/>
        <w:sz w:val="18"/>
      </w:rPr>
      <w:tab/>
    </w:r>
    <w:r w:rsidR="00F96BF5" w:rsidRPr="00450D46">
      <w:rPr>
        <w:rFonts w:asciiTheme="minorHAnsi" w:hAnsiTheme="minorHAnsi" w:cstheme="minorHAnsi"/>
        <w:noProof/>
        <w:sz w:val="18"/>
      </w:rPr>
      <w:fldChar w:fldCharType="begin"/>
    </w:r>
    <w:r w:rsidR="00F96BF5" w:rsidRPr="00450D46">
      <w:rPr>
        <w:rFonts w:asciiTheme="minorHAnsi" w:hAnsiTheme="minorHAnsi" w:cstheme="minorHAnsi"/>
        <w:noProof/>
        <w:sz w:val="18"/>
      </w:rPr>
      <w:instrText xml:space="preserve"> SAVEDATE  \@ "dd/MM/yyyy"  \* MERGEFORMAT </w:instrText>
    </w:r>
    <w:r w:rsidR="00F96BF5" w:rsidRPr="00450D46">
      <w:rPr>
        <w:rFonts w:asciiTheme="minorHAnsi" w:hAnsiTheme="minorHAnsi" w:cstheme="minorHAnsi"/>
        <w:noProof/>
        <w:sz w:val="18"/>
      </w:rPr>
      <w:fldChar w:fldCharType="separate"/>
    </w:r>
    <w:r>
      <w:rPr>
        <w:rFonts w:asciiTheme="minorHAnsi" w:hAnsiTheme="minorHAnsi" w:cstheme="minorHAnsi"/>
        <w:noProof/>
        <w:sz w:val="18"/>
      </w:rPr>
      <w:t>17/06/2021</w:t>
    </w:r>
    <w:r w:rsidR="00F96BF5" w:rsidRPr="00450D46">
      <w:rPr>
        <w:rFonts w:asciiTheme="minorHAnsi" w:hAnsiTheme="minorHAnsi"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63"/>
    </w:tblGrid>
    <w:tr w:rsidR="00F96BF5" w14:paraId="108787F5" w14:textId="77777777" w:rsidTr="0079798D">
      <w:trPr>
        <w:trHeight w:val="425"/>
      </w:trPr>
      <w:tc>
        <w:tcPr>
          <w:tcW w:w="9063" w:type="dxa"/>
          <w:shd w:val="clear" w:color="auto" w:fill="17365D" w:themeFill="text2" w:themeFillShade="BF"/>
          <w:vAlign w:val="center"/>
        </w:tcPr>
        <w:p w14:paraId="534EC926" w14:textId="77777777" w:rsidR="00F96BF5" w:rsidRPr="0079798D" w:rsidRDefault="00F96BF5" w:rsidP="0079798D">
          <w:pPr>
            <w:pStyle w:val="Footer"/>
            <w:jc w:val="center"/>
            <w:rPr>
              <w:rFonts w:asciiTheme="minorHAnsi" w:hAnsiTheme="minorHAnsi" w:cstheme="minorHAnsi"/>
            </w:rPr>
          </w:pPr>
          <w:r w:rsidRPr="0079798D">
            <w:rPr>
              <w:rFonts w:asciiTheme="minorHAnsi" w:hAnsiTheme="minorHAnsi" w:cstheme="minorHAnsi"/>
            </w:rPr>
            <w:t>Delivering excellence and inspiring futures</w:t>
          </w:r>
        </w:p>
      </w:tc>
    </w:tr>
  </w:tbl>
  <w:p w14:paraId="3A776A9E" w14:textId="77777777" w:rsidR="00F96BF5" w:rsidRPr="00450D46" w:rsidRDefault="00F96BF5">
    <w:pPr>
      <w:pStyle w:val="Footer"/>
      <w:rPr>
        <w:sz w:val="10"/>
      </w:rPr>
    </w:pPr>
  </w:p>
  <w:p w14:paraId="1241F41C" w14:textId="77777777" w:rsidR="00F96BF5" w:rsidRPr="00450D46" w:rsidRDefault="001873A0" w:rsidP="00450D46">
    <w:pPr>
      <w:pStyle w:val="Footer"/>
      <w:tabs>
        <w:tab w:val="clear" w:pos="4320"/>
        <w:tab w:val="clear" w:pos="8640"/>
        <w:tab w:val="center" w:pos="4536"/>
        <w:tab w:val="right" w:pos="9044"/>
      </w:tabs>
      <w:rPr>
        <w:rFonts w:asciiTheme="minorHAnsi" w:hAnsiTheme="minorHAnsi" w:cstheme="minorHAnsi"/>
      </w:rPr>
    </w:pPr>
    <w:sdt>
      <w:sdtPr>
        <w:rPr>
          <w:rFonts w:asciiTheme="minorHAnsi" w:hAnsiTheme="minorHAnsi" w:cstheme="minorHAnsi"/>
          <w:sz w:val="18"/>
        </w:rPr>
        <w:id w:val="-2084600651"/>
        <w:docPartObj>
          <w:docPartGallery w:val="Page Numbers (Bottom of Page)"/>
          <w:docPartUnique/>
        </w:docPartObj>
      </w:sdtPr>
      <w:sdtEndPr>
        <w:rPr>
          <w:noProof/>
        </w:rPr>
      </w:sdtEndPr>
      <w:sdtContent>
        <w:r w:rsidR="00F96BF5" w:rsidRPr="00450D46">
          <w:rPr>
            <w:rFonts w:asciiTheme="minorHAnsi" w:hAnsiTheme="minorHAnsi" w:cstheme="minorHAnsi"/>
            <w:sz w:val="18"/>
          </w:rPr>
          <w:t>Potteries Educational Trust</w:t>
        </w:r>
        <w:r w:rsidR="00F96BF5" w:rsidRPr="00450D46">
          <w:rPr>
            <w:rFonts w:asciiTheme="minorHAnsi" w:hAnsiTheme="minorHAnsi" w:cstheme="minorHAnsi"/>
            <w:sz w:val="18"/>
          </w:rPr>
          <w:tab/>
          <w:t xml:space="preserve">Page </w:t>
        </w:r>
        <w:r w:rsidR="00F96BF5" w:rsidRPr="00450D46">
          <w:rPr>
            <w:rFonts w:asciiTheme="minorHAnsi" w:hAnsiTheme="minorHAnsi" w:cstheme="minorHAnsi"/>
            <w:sz w:val="18"/>
          </w:rPr>
          <w:fldChar w:fldCharType="begin"/>
        </w:r>
        <w:r w:rsidR="00F96BF5" w:rsidRPr="00450D46">
          <w:rPr>
            <w:rFonts w:asciiTheme="minorHAnsi" w:hAnsiTheme="minorHAnsi" w:cstheme="minorHAnsi"/>
            <w:sz w:val="18"/>
          </w:rPr>
          <w:instrText xml:space="preserve"> PAGE   \* MERGEFORMAT </w:instrText>
        </w:r>
        <w:r w:rsidR="00F96BF5" w:rsidRPr="00450D46">
          <w:rPr>
            <w:rFonts w:asciiTheme="minorHAnsi" w:hAnsiTheme="minorHAnsi" w:cstheme="minorHAnsi"/>
            <w:sz w:val="18"/>
          </w:rPr>
          <w:fldChar w:fldCharType="separate"/>
        </w:r>
        <w:r w:rsidR="0054740D">
          <w:rPr>
            <w:rFonts w:asciiTheme="minorHAnsi" w:hAnsiTheme="minorHAnsi" w:cstheme="minorHAnsi"/>
            <w:noProof/>
            <w:sz w:val="18"/>
          </w:rPr>
          <w:t>1</w:t>
        </w:r>
        <w:r w:rsidR="00F96BF5" w:rsidRPr="00450D46">
          <w:rPr>
            <w:rFonts w:asciiTheme="minorHAnsi" w:hAnsiTheme="minorHAnsi" w:cstheme="minorHAnsi"/>
            <w:noProof/>
            <w:sz w:val="18"/>
          </w:rPr>
          <w:fldChar w:fldCharType="end"/>
        </w:r>
      </w:sdtContent>
    </w:sdt>
    <w:r w:rsidR="00F96BF5" w:rsidRPr="00450D46">
      <w:rPr>
        <w:rFonts w:asciiTheme="minorHAnsi" w:hAnsiTheme="minorHAnsi" w:cstheme="minorHAnsi"/>
        <w:noProof/>
        <w:sz w:val="18"/>
      </w:rPr>
      <w:t xml:space="preserve"> of </w:t>
    </w:r>
    <w:r w:rsidR="00F96BF5" w:rsidRPr="00450D46">
      <w:rPr>
        <w:rFonts w:asciiTheme="minorHAnsi" w:hAnsiTheme="minorHAnsi" w:cstheme="minorHAnsi"/>
        <w:noProof/>
        <w:sz w:val="18"/>
      </w:rPr>
      <w:fldChar w:fldCharType="begin"/>
    </w:r>
    <w:r w:rsidR="00F96BF5" w:rsidRPr="00450D46">
      <w:rPr>
        <w:rFonts w:asciiTheme="minorHAnsi" w:hAnsiTheme="minorHAnsi" w:cstheme="minorHAnsi"/>
        <w:noProof/>
        <w:sz w:val="18"/>
      </w:rPr>
      <w:instrText xml:space="preserve"> NUMPAGES   \* MERGEFORMAT </w:instrText>
    </w:r>
    <w:r w:rsidR="00F96BF5" w:rsidRPr="00450D46">
      <w:rPr>
        <w:rFonts w:asciiTheme="minorHAnsi" w:hAnsiTheme="minorHAnsi" w:cstheme="minorHAnsi"/>
        <w:noProof/>
        <w:sz w:val="18"/>
      </w:rPr>
      <w:fldChar w:fldCharType="separate"/>
    </w:r>
    <w:r w:rsidR="0054740D">
      <w:rPr>
        <w:rFonts w:asciiTheme="minorHAnsi" w:hAnsiTheme="minorHAnsi" w:cstheme="minorHAnsi"/>
        <w:noProof/>
        <w:sz w:val="18"/>
      </w:rPr>
      <w:t>8</w:t>
    </w:r>
    <w:r w:rsidR="00F96BF5" w:rsidRPr="00450D46">
      <w:rPr>
        <w:rFonts w:asciiTheme="minorHAnsi" w:hAnsiTheme="minorHAnsi" w:cstheme="minorHAnsi"/>
        <w:noProof/>
        <w:sz w:val="18"/>
      </w:rPr>
      <w:fldChar w:fldCharType="end"/>
    </w:r>
    <w:r w:rsidR="00F96BF5" w:rsidRPr="00450D46">
      <w:rPr>
        <w:rFonts w:asciiTheme="minorHAnsi" w:hAnsiTheme="minorHAnsi" w:cstheme="minorHAnsi"/>
        <w:noProof/>
        <w:sz w:val="18"/>
      </w:rPr>
      <w:tab/>
    </w:r>
    <w:r w:rsidR="00F96BF5" w:rsidRPr="00450D46">
      <w:rPr>
        <w:rFonts w:asciiTheme="minorHAnsi" w:hAnsiTheme="minorHAnsi" w:cstheme="minorHAnsi"/>
        <w:noProof/>
        <w:sz w:val="18"/>
      </w:rPr>
      <w:fldChar w:fldCharType="begin"/>
    </w:r>
    <w:r w:rsidR="00F96BF5" w:rsidRPr="00450D46">
      <w:rPr>
        <w:rFonts w:asciiTheme="minorHAnsi" w:hAnsiTheme="minorHAnsi" w:cstheme="minorHAnsi"/>
        <w:noProof/>
        <w:sz w:val="18"/>
      </w:rPr>
      <w:instrText xml:space="preserve"> SAVEDATE  \@ "dd/MM/yyyy"  \* MERGEFORMAT </w:instrText>
    </w:r>
    <w:r w:rsidR="00F96BF5" w:rsidRPr="00450D46">
      <w:rPr>
        <w:rFonts w:asciiTheme="minorHAnsi" w:hAnsiTheme="minorHAnsi" w:cstheme="minorHAnsi"/>
        <w:noProof/>
        <w:sz w:val="18"/>
      </w:rPr>
      <w:fldChar w:fldCharType="separate"/>
    </w:r>
    <w:r>
      <w:rPr>
        <w:rFonts w:asciiTheme="minorHAnsi" w:hAnsiTheme="minorHAnsi" w:cstheme="minorHAnsi"/>
        <w:noProof/>
        <w:sz w:val="18"/>
      </w:rPr>
      <w:t>17/06/2021</w:t>
    </w:r>
    <w:r w:rsidR="00F96BF5" w:rsidRPr="00450D46">
      <w:rPr>
        <w:rFonts w:asciiTheme="minorHAnsi" w:hAnsiTheme="minorHAnsi" w:cstheme="minorHAnsi"/>
        <w:noProof/>
        <w:sz w:val="18"/>
      </w:rPr>
      <w:fldChar w:fldCharType="end"/>
    </w:r>
  </w:p>
  <w:p w14:paraId="073E9F4E" w14:textId="77777777" w:rsidR="00F96BF5" w:rsidRPr="0079798D" w:rsidRDefault="00F96BF5" w:rsidP="00450D4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DEEB" w14:textId="77777777" w:rsidR="00331FA3" w:rsidRDefault="00331FA3" w:rsidP="00A014F7">
      <w:r>
        <w:separator/>
      </w:r>
    </w:p>
  </w:footnote>
  <w:footnote w:type="continuationSeparator" w:id="0">
    <w:p w14:paraId="79546764" w14:textId="77777777" w:rsidR="00331FA3" w:rsidRDefault="00331FA3" w:rsidP="00A014F7">
      <w:r>
        <w:continuationSeparator/>
      </w:r>
    </w:p>
  </w:footnote>
  <w:footnote w:id="1">
    <w:p w14:paraId="4AE82671" w14:textId="77777777" w:rsidR="00F96BF5" w:rsidRDefault="00F96BF5" w:rsidP="00D9154F">
      <w:pPr>
        <w:pStyle w:val="FootnoteText"/>
      </w:pPr>
      <w:r>
        <w:rPr>
          <w:rStyle w:val="FootnoteReference"/>
        </w:rPr>
        <w:footnoteRef/>
      </w:r>
      <w:r>
        <w:t xml:space="preserve"> 16-19 Bursary Fund Guide 2021 to 2022 academic year.  </w:t>
      </w:r>
      <w:hyperlink r:id="rId1" w:history="1">
        <w:r w:rsidRPr="00525A6E">
          <w:rPr>
            <w:rStyle w:val="Hyperlink"/>
          </w:rPr>
          <w:t>www.gov.uk/education</w:t>
        </w:r>
      </w:hyperlink>
      <w:r>
        <w:t xml:space="preserve"> Page 2</w:t>
      </w:r>
    </w:p>
  </w:footnote>
  <w:footnote w:id="2">
    <w:p w14:paraId="47179ADC" w14:textId="77777777" w:rsidR="00F96BF5" w:rsidRPr="00D9154F" w:rsidRDefault="00F96BF5">
      <w:pPr>
        <w:pStyle w:val="FootnoteText"/>
      </w:pPr>
      <w:r>
        <w:rPr>
          <w:rStyle w:val="FootnoteReference"/>
        </w:rPr>
        <w:footnoteRef/>
      </w:r>
      <w:r>
        <w:t xml:space="preserve">  Ibid</w:t>
      </w:r>
    </w:p>
  </w:footnote>
  <w:footnote w:id="3">
    <w:p w14:paraId="6F9CD3A5" w14:textId="77777777" w:rsidR="00F96BF5" w:rsidRDefault="00F96BF5">
      <w:pPr>
        <w:pStyle w:val="FootnoteText"/>
      </w:pPr>
      <w:r>
        <w:rPr>
          <w:rStyle w:val="FootnoteReference"/>
        </w:rPr>
        <w:footnoteRef/>
      </w:r>
      <w:r>
        <w:t xml:space="preserve"> Ibid Page 3.</w:t>
      </w:r>
    </w:p>
  </w:footnote>
  <w:footnote w:id="4">
    <w:p w14:paraId="6E704618" w14:textId="77777777" w:rsidR="00F96BF5" w:rsidRDefault="00F96BF5">
      <w:pPr>
        <w:pStyle w:val="FootnoteText"/>
      </w:pPr>
      <w:r>
        <w:rPr>
          <w:rStyle w:val="FootnoteReference"/>
        </w:rPr>
        <w:footnoteRef/>
      </w:r>
      <w:r>
        <w:t xml:space="preserve"> Ibid Page 4.</w:t>
      </w:r>
    </w:p>
  </w:footnote>
  <w:footnote w:id="5">
    <w:p w14:paraId="643DE8F3" w14:textId="77777777" w:rsidR="00F96BF5" w:rsidRDefault="00F96BF5">
      <w:pPr>
        <w:pStyle w:val="FootnoteText"/>
      </w:pPr>
      <w:r>
        <w:rPr>
          <w:rStyle w:val="FootnoteReference"/>
        </w:rPr>
        <w:footnoteRef/>
      </w:r>
      <w:r>
        <w:t xml:space="preserve"> Ibid</w:t>
      </w:r>
    </w:p>
  </w:footnote>
  <w:footnote w:id="6">
    <w:p w14:paraId="361E9136" w14:textId="77777777" w:rsidR="00F96BF5" w:rsidRDefault="00F96BF5">
      <w:pPr>
        <w:pStyle w:val="FootnoteText"/>
      </w:pPr>
      <w:r>
        <w:rPr>
          <w:rStyle w:val="FootnoteReference"/>
        </w:rPr>
        <w:footnoteRef/>
      </w:r>
      <w:r>
        <w:t xml:space="preserve"> Please see Guidance Document for a developed definition of in care and care leaver.</w:t>
      </w:r>
    </w:p>
  </w:footnote>
  <w:footnote w:id="7">
    <w:p w14:paraId="4DB5A3C7" w14:textId="77777777" w:rsidR="008A67BD" w:rsidRDefault="008A67BD">
      <w:pPr>
        <w:pStyle w:val="FootnoteText"/>
      </w:pPr>
      <w:r>
        <w:rPr>
          <w:rStyle w:val="FootnoteReference"/>
        </w:rPr>
        <w:footnoteRef/>
      </w:r>
      <w:r>
        <w:t xml:space="preserve"> </w:t>
      </w:r>
      <w:hyperlink r:id="rId2" w:history="1">
        <w:r w:rsidRPr="008A67BD">
          <w:rPr>
            <w:rStyle w:val="Hyperlink"/>
          </w:rPr>
          <w:t>Free meals in further education funded institutions: guide for the 2021-2022 academic year</w:t>
        </w:r>
      </w:hyperlink>
    </w:p>
  </w:footnote>
  <w:footnote w:id="8">
    <w:p w14:paraId="4C58D6FE" w14:textId="77777777" w:rsidR="005B2EC3" w:rsidRDefault="005B2EC3">
      <w:pPr>
        <w:pStyle w:val="FootnoteText"/>
      </w:pPr>
      <w:r>
        <w:rPr>
          <w:rStyle w:val="FootnoteReference"/>
        </w:rPr>
        <w:footnoteRef/>
      </w:r>
      <w:r>
        <w:t xml:space="preserve"> </w:t>
      </w:r>
      <w:hyperlink r:id="rId3" w:history="1">
        <w:r w:rsidRPr="00525A6E">
          <w:rPr>
            <w:rStyle w:val="Hyperlink"/>
          </w:rPr>
          <w:t>www.keytosuccess.education.gov.uk</w:t>
        </w:r>
      </w:hyperlink>
      <w:r>
        <w:t xml:space="preserve"> (Page 22)</w:t>
      </w:r>
    </w:p>
  </w:footnote>
  <w:footnote w:id="9">
    <w:p w14:paraId="073CB5FA" w14:textId="77777777" w:rsidR="009959E5" w:rsidRPr="009959E5" w:rsidRDefault="009959E5" w:rsidP="003C087F">
      <w:pPr>
        <w:pStyle w:val="NormalWeb"/>
        <w:shd w:val="clear" w:color="auto" w:fill="FFFFFF"/>
        <w:spacing w:before="300" w:beforeAutospacing="0" w:after="300" w:afterAutospacing="0"/>
        <w:jc w:val="both"/>
        <w:rPr>
          <w:rFonts w:ascii="Arial" w:hAnsi="Arial" w:cs="Arial"/>
          <w:color w:val="0B0C0C"/>
          <w:sz w:val="20"/>
          <w:szCs w:val="29"/>
        </w:rPr>
      </w:pPr>
      <w:r>
        <w:rPr>
          <w:rStyle w:val="FootnoteReference"/>
        </w:rPr>
        <w:footnoteRef/>
      </w:r>
      <w:r>
        <w:t xml:space="preserve"> ‘</w:t>
      </w:r>
      <w:r w:rsidRPr="009959E5">
        <w:rPr>
          <w:rFonts w:ascii="Arial" w:hAnsi="Arial" w:cs="Arial"/>
          <w:color w:val="0B0C0C"/>
          <w:sz w:val="20"/>
          <w:szCs w:val="29"/>
        </w:rPr>
        <w:t>Institutions delivering standard academic year provision may wish to specify that all applications for the bursary are submitted by a set date so they can assess the overall level of demand holistically and make discretionary awards on a fair basis. Any specific deadline date should be clearly stated in the application form and included in the bursary policy.</w:t>
      </w:r>
    </w:p>
    <w:p w14:paraId="3F1DFA48" w14:textId="77777777" w:rsidR="002F0914" w:rsidRDefault="009959E5" w:rsidP="003C087F">
      <w:pPr>
        <w:jc w:val="both"/>
        <w:rPr>
          <w:rStyle w:val="Hyperlink"/>
          <w:rFonts w:asciiTheme="minorHAnsi" w:eastAsia="Arial Unicode MS" w:hAnsiTheme="minorHAnsi" w:cstheme="minorHAnsi"/>
          <w:b/>
          <w:sz w:val="22"/>
          <w:szCs w:val="22"/>
        </w:rPr>
      </w:pPr>
      <w:r w:rsidRPr="009959E5">
        <w:rPr>
          <w:rFonts w:ascii="Arial" w:hAnsi="Arial" w:cs="Arial"/>
          <w:color w:val="0B0C0C"/>
          <w:sz w:val="20"/>
          <w:szCs w:val="29"/>
        </w:rPr>
        <w:t>However, it is important to bear in mind that a student’s circumstance and needs may change later in the year. A small emergency fund may be retained for this purpose but consequently, ESFA recommends that there should be no absolute cut-off point for applications.</w:t>
      </w:r>
      <w:r>
        <w:rPr>
          <w:rFonts w:ascii="Arial" w:hAnsi="Arial" w:cs="Arial"/>
          <w:color w:val="0B0C0C"/>
          <w:sz w:val="20"/>
          <w:szCs w:val="29"/>
        </w:rPr>
        <w:t>’</w:t>
      </w:r>
      <w:r w:rsidR="002F0914">
        <w:rPr>
          <w:rFonts w:ascii="Arial" w:hAnsi="Arial" w:cs="Arial"/>
          <w:color w:val="0B0C0C"/>
          <w:sz w:val="20"/>
          <w:szCs w:val="29"/>
        </w:rPr>
        <w:t xml:space="preserve"> </w:t>
      </w:r>
      <w:hyperlink r:id="rId4" w:history="1">
        <w:r w:rsidR="002F0914" w:rsidRPr="00C7792D">
          <w:rPr>
            <w:rStyle w:val="Hyperlink"/>
            <w:rFonts w:asciiTheme="minorHAnsi" w:eastAsia="Arial Unicode MS" w:hAnsiTheme="minorHAnsi" w:cstheme="minorHAnsi"/>
            <w:b/>
            <w:sz w:val="22"/>
            <w:szCs w:val="22"/>
          </w:rPr>
          <w:t>16-19 Bursary</w:t>
        </w:r>
      </w:hyperlink>
    </w:p>
    <w:p w14:paraId="7C177A6A" w14:textId="77777777" w:rsidR="009959E5" w:rsidRDefault="009959E5" w:rsidP="002F0914">
      <w:pPr>
        <w:pStyle w:val="NormalWeb"/>
        <w:shd w:val="clear" w:color="auto" w:fill="FFFFFF"/>
        <w:spacing w:before="300" w:beforeAutospacing="0" w:after="300" w:afterAutospacing="0"/>
      </w:pPr>
    </w:p>
  </w:footnote>
  <w:footnote w:id="10">
    <w:p w14:paraId="2BC021AE" w14:textId="77777777" w:rsidR="00F96BF5" w:rsidRDefault="00F96BF5">
      <w:pPr>
        <w:pStyle w:val="FootnoteText"/>
      </w:pPr>
      <w:r>
        <w:rPr>
          <w:rStyle w:val="FootnoteReference"/>
        </w:rPr>
        <w:footnoteRef/>
      </w:r>
      <w:r>
        <w:t xml:space="preserve"> Ibid Page 10.</w:t>
      </w:r>
    </w:p>
  </w:footnote>
  <w:footnote w:id="11">
    <w:p w14:paraId="04D8DCB7" w14:textId="77777777" w:rsidR="00F96BF5" w:rsidRDefault="00F96BF5">
      <w:pPr>
        <w:pStyle w:val="FootnoteText"/>
      </w:pPr>
      <w:r>
        <w:rPr>
          <w:rStyle w:val="FootnoteReference"/>
        </w:rPr>
        <w:footnoteRef/>
      </w:r>
      <w:r>
        <w:t xml:space="preserve"> Ibid Page 11.</w:t>
      </w:r>
    </w:p>
  </w:footnote>
  <w:footnote w:id="12">
    <w:p w14:paraId="0E981D6B" w14:textId="77777777" w:rsidR="00F96BF5" w:rsidRDefault="00F96BF5">
      <w:pPr>
        <w:pStyle w:val="FootnoteText"/>
      </w:pPr>
      <w:r>
        <w:rPr>
          <w:rStyle w:val="FootnoteReference"/>
        </w:rPr>
        <w:footnoteRef/>
      </w:r>
      <w:r>
        <w:t xml:space="preserve"> Ibid Page 12.</w:t>
      </w:r>
    </w:p>
  </w:footnote>
  <w:footnote w:id="13">
    <w:p w14:paraId="7CAD498A" w14:textId="77777777" w:rsidR="00F96BF5" w:rsidRDefault="00F96BF5">
      <w:pPr>
        <w:pStyle w:val="FootnoteText"/>
      </w:pPr>
      <w:r>
        <w:rPr>
          <w:rStyle w:val="FootnoteReference"/>
        </w:rPr>
        <w:footnoteRef/>
      </w:r>
      <w:r>
        <w:t xml:space="preserve"> Ibid Page 11.</w:t>
      </w:r>
    </w:p>
  </w:footnote>
  <w:footnote w:id="14">
    <w:p w14:paraId="1EEB31C4" w14:textId="77777777" w:rsidR="00E017CA" w:rsidRDefault="00E017CA">
      <w:pPr>
        <w:pStyle w:val="FootnoteText"/>
      </w:pPr>
      <w:r>
        <w:rPr>
          <w:rStyle w:val="FootnoteReference"/>
        </w:rPr>
        <w:footnoteRef/>
      </w:r>
      <w:r>
        <w:t xml:space="preserve"> Ibid Page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32A"/>
    <w:multiLevelType w:val="hybridMultilevel"/>
    <w:tmpl w:val="8166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1317"/>
    <w:multiLevelType w:val="hybridMultilevel"/>
    <w:tmpl w:val="5CD01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B87DC9"/>
    <w:multiLevelType w:val="hybridMultilevel"/>
    <w:tmpl w:val="9CCA9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592E72"/>
    <w:multiLevelType w:val="hybridMultilevel"/>
    <w:tmpl w:val="761C713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A50522"/>
    <w:multiLevelType w:val="hybridMultilevel"/>
    <w:tmpl w:val="2088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763A5"/>
    <w:multiLevelType w:val="hybridMultilevel"/>
    <w:tmpl w:val="FBE4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67CE4"/>
    <w:multiLevelType w:val="hybridMultilevel"/>
    <w:tmpl w:val="296A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F7D1B"/>
    <w:multiLevelType w:val="hybridMultilevel"/>
    <w:tmpl w:val="7FFA1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0D1715"/>
    <w:multiLevelType w:val="hybridMultilevel"/>
    <w:tmpl w:val="59BACC3C"/>
    <w:lvl w:ilvl="0" w:tplc="AC9A3334">
      <w:start w:val="1"/>
      <w:numFmt w:val="decimal"/>
      <w:lvlText w:val="%1."/>
      <w:lvlJc w:val="left"/>
      <w:pPr>
        <w:tabs>
          <w:tab w:val="num" w:pos="720"/>
        </w:tabs>
        <w:ind w:left="720" w:hanging="360"/>
      </w:pPr>
      <w:rPr>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5A74889"/>
    <w:multiLevelType w:val="hybridMultilevel"/>
    <w:tmpl w:val="0B6ECB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5B1A4B1A"/>
    <w:multiLevelType w:val="hybridMultilevel"/>
    <w:tmpl w:val="F7D2E0D8"/>
    <w:lvl w:ilvl="0" w:tplc="5EFA0792">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E43817"/>
    <w:multiLevelType w:val="hybridMultilevel"/>
    <w:tmpl w:val="EE12C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F14454"/>
    <w:multiLevelType w:val="hybridMultilevel"/>
    <w:tmpl w:val="374CE1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BB433DC"/>
    <w:multiLevelType w:val="hybridMultilevel"/>
    <w:tmpl w:val="9F6C8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E20167"/>
    <w:multiLevelType w:val="hybridMultilevel"/>
    <w:tmpl w:val="FC5CE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72827"/>
    <w:multiLevelType w:val="hybridMultilevel"/>
    <w:tmpl w:val="3B7A0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16"/>
  </w:num>
  <w:num w:numId="6">
    <w:abstractNumId w:val="17"/>
  </w:num>
  <w:num w:numId="7">
    <w:abstractNumId w:val="15"/>
  </w:num>
  <w:num w:numId="8">
    <w:abstractNumId w:val="9"/>
  </w:num>
  <w:num w:numId="9">
    <w:abstractNumId w:val="10"/>
  </w:num>
  <w:num w:numId="10">
    <w:abstractNumId w:val="8"/>
  </w:num>
  <w:num w:numId="11">
    <w:abstractNumId w:val="3"/>
  </w:num>
  <w:num w:numId="12">
    <w:abstractNumId w:val="13"/>
  </w:num>
  <w:num w:numId="13">
    <w:abstractNumId w:val="0"/>
  </w:num>
  <w:num w:numId="14">
    <w:abstractNumId w:val="1"/>
  </w:num>
  <w:num w:numId="15">
    <w:abstractNumId w:val="12"/>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88"/>
    <w:rsid w:val="000143D8"/>
    <w:rsid w:val="00037AEA"/>
    <w:rsid w:val="00041F90"/>
    <w:rsid w:val="000A2802"/>
    <w:rsid w:val="000A4844"/>
    <w:rsid w:val="000C1F76"/>
    <w:rsid w:val="000C6913"/>
    <w:rsid w:val="000D0AF4"/>
    <w:rsid w:val="000D1215"/>
    <w:rsid w:val="000D50BA"/>
    <w:rsid w:val="000D7131"/>
    <w:rsid w:val="000E3614"/>
    <w:rsid w:val="000E73CB"/>
    <w:rsid w:val="00145690"/>
    <w:rsid w:val="00147A0C"/>
    <w:rsid w:val="00157D8F"/>
    <w:rsid w:val="001778BE"/>
    <w:rsid w:val="00177C05"/>
    <w:rsid w:val="001873A0"/>
    <w:rsid w:val="001A4F3D"/>
    <w:rsid w:val="001C3B28"/>
    <w:rsid w:val="001F5DE3"/>
    <w:rsid w:val="00221CEF"/>
    <w:rsid w:val="002263AB"/>
    <w:rsid w:val="00230B3E"/>
    <w:rsid w:val="002371C8"/>
    <w:rsid w:val="00246C74"/>
    <w:rsid w:val="00250F47"/>
    <w:rsid w:val="00253C46"/>
    <w:rsid w:val="002664B5"/>
    <w:rsid w:val="00272469"/>
    <w:rsid w:val="00275F37"/>
    <w:rsid w:val="002870B1"/>
    <w:rsid w:val="002C00A2"/>
    <w:rsid w:val="002E4D15"/>
    <w:rsid w:val="002F0914"/>
    <w:rsid w:val="002F45F5"/>
    <w:rsid w:val="00301872"/>
    <w:rsid w:val="00331BDC"/>
    <w:rsid w:val="00331FA3"/>
    <w:rsid w:val="00333D41"/>
    <w:rsid w:val="00350238"/>
    <w:rsid w:val="00366702"/>
    <w:rsid w:val="00377348"/>
    <w:rsid w:val="0039065F"/>
    <w:rsid w:val="00395EB4"/>
    <w:rsid w:val="003C087F"/>
    <w:rsid w:val="003F20BD"/>
    <w:rsid w:val="00401831"/>
    <w:rsid w:val="0040655A"/>
    <w:rsid w:val="00413C06"/>
    <w:rsid w:val="00422731"/>
    <w:rsid w:val="00423ABF"/>
    <w:rsid w:val="00425836"/>
    <w:rsid w:val="00447F00"/>
    <w:rsid w:val="00450D46"/>
    <w:rsid w:val="00453952"/>
    <w:rsid w:val="00457299"/>
    <w:rsid w:val="00461665"/>
    <w:rsid w:val="00466D77"/>
    <w:rsid w:val="00484C9D"/>
    <w:rsid w:val="0049774E"/>
    <w:rsid w:val="004B5478"/>
    <w:rsid w:val="004C6266"/>
    <w:rsid w:val="004D0BDA"/>
    <w:rsid w:val="004D0BEC"/>
    <w:rsid w:val="004D3803"/>
    <w:rsid w:val="004D3807"/>
    <w:rsid w:val="004F07FB"/>
    <w:rsid w:val="005176EA"/>
    <w:rsid w:val="0054740D"/>
    <w:rsid w:val="00586250"/>
    <w:rsid w:val="005919C2"/>
    <w:rsid w:val="005A511D"/>
    <w:rsid w:val="005A5DA8"/>
    <w:rsid w:val="005A78B9"/>
    <w:rsid w:val="005A79D4"/>
    <w:rsid w:val="005B2EC3"/>
    <w:rsid w:val="005B326F"/>
    <w:rsid w:val="005C51B2"/>
    <w:rsid w:val="005E6717"/>
    <w:rsid w:val="006007FA"/>
    <w:rsid w:val="00602FD2"/>
    <w:rsid w:val="00612F19"/>
    <w:rsid w:val="00622716"/>
    <w:rsid w:val="00635F1B"/>
    <w:rsid w:val="00636D35"/>
    <w:rsid w:val="006B509F"/>
    <w:rsid w:val="006B5CBD"/>
    <w:rsid w:val="006C0CE4"/>
    <w:rsid w:val="006C4108"/>
    <w:rsid w:val="006F3314"/>
    <w:rsid w:val="006F448A"/>
    <w:rsid w:val="006F59A3"/>
    <w:rsid w:val="0074030C"/>
    <w:rsid w:val="00741A84"/>
    <w:rsid w:val="00767F98"/>
    <w:rsid w:val="0079798D"/>
    <w:rsid w:val="007A369C"/>
    <w:rsid w:val="007C7647"/>
    <w:rsid w:val="007E4FFB"/>
    <w:rsid w:val="00801D53"/>
    <w:rsid w:val="00811CBD"/>
    <w:rsid w:val="00811EB3"/>
    <w:rsid w:val="0081276F"/>
    <w:rsid w:val="0081756B"/>
    <w:rsid w:val="0083353E"/>
    <w:rsid w:val="00834C74"/>
    <w:rsid w:val="0084214B"/>
    <w:rsid w:val="00857D64"/>
    <w:rsid w:val="00860BDF"/>
    <w:rsid w:val="00861057"/>
    <w:rsid w:val="00887AB4"/>
    <w:rsid w:val="00890A91"/>
    <w:rsid w:val="008962F0"/>
    <w:rsid w:val="00897C0A"/>
    <w:rsid w:val="008A67BD"/>
    <w:rsid w:val="008C010E"/>
    <w:rsid w:val="008E4848"/>
    <w:rsid w:val="009062DE"/>
    <w:rsid w:val="009257E9"/>
    <w:rsid w:val="00946A30"/>
    <w:rsid w:val="009930C7"/>
    <w:rsid w:val="009959E5"/>
    <w:rsid w:val="009A459A"/>
    <w:rsid w:val="009B4E95"/>
    <w:rsid w:val="009C1E27"/>
    <w:rsid w:val="009D4E88"/>
    <w:rsid w:val="009E4E2F"/>
    <w:rsid w:val="009F167C"/>
    <w:rsid w:val="009F307F"/>
    <w:rsid w:val="009F592B"/>
    <w:rsid w:val="009F6446"/>
    <w:rsid w:val="00A014F7"/>
    <w:rsid w:val="00A020E5"/>
    <w:rsid w:val="00A11FAF"/>
    <w:rsid w:val="00A16329"/>
    <w:rsid w:val="00A54DC6"/>
    <w:rsid w:val="00A76E51"/>
    <w:rsid w:val="00A94CA4"/>
    <w:rsid w:val="00A97C4A"/>
    <w:rsid w:val="00AA029D"/>
    <w:rsid w:val="00AA0F68"/>
    <w:rsid w:val="00AA3503"/>
    <w:rsid w:val="00AA5532"/>
    <w:rsid w:val="00AB10DD"/>
    <w:rsid w:val="00AB6D15"/>
    <w:rsid w:val="00AB6DDC"/>
    <w:rsid w:val="00AB7BB4"/>
    <w:rsid w:val="00AD1CDC"/>
    <w:rsid w:val="00AF544F"/>
    <w:rsid w:val="00B04B50"/>
    <w:rsid w:val="00B108D7"/>
    <w:rsid w:val="00B31490"/>
    <w:rsid w:val="00B623FE"/>
    <w:rsid w:val="00B8402C"/>
    <w:rsid w:val="00B93DDF"/>
    <w:rsid w:val="00B961C4"/>
    <w:rsid w:val="00BC34D3"/>
    <w:rsid w:val="00BD128F"/>
    <w:rsid w:val="00C10918"/>
    <w:rsid w:val="00C118D2"/>
    <w:rsid w:val="00C11DBD"/>
    <w:rsid w:val="00C35B3C"/>
    <w:rsid w:val="00C52710"/>
    <w:rsid w:val="00C6363D"/>
    <w:rsid w:val="00C759C1"/>
    <w:rsid w:val="00C7792D"/>
    <w:rsid w:val="00C90C73"/>
    <w:rsid w:val="00CA41B7"/>
    <w:rsid w:val="00CA76EB"/>
    <w:rsid w:val="00CA7CC7"/>
    <w:rsid w:val="00CD396A"/>
    <w:rsid w:val="00CF33E6"/>
    <w:rsid w:val="00D14E81"/>
    <w:rsid w:val="00D15365"/>
    <w:rsid w:val="00D30531"/>
    <w:rsid w:val="00D31644"/>
    <w:rsid w:val="00D6007E"/>
    <w:rsid w:val="00D73C35"/>
    <w:rsid w:val="00D9154F"/>
    <w:rsid w:val="00DB0BB0"/>
    <w:rsid w:val="00DC39D2"/>
    <w:rsid w:val="00DD19EF"/>
    <w:rsid w:val="00DE526D"/>
    <w:rsid w:val="00E017CA"/>
    <w:rsid w:val="00E12F70"/>
    <w:rsid w:val="00E17D27"/>
    <w:rsid w:val="00E328D8"/>
    <w:rsid w:val="00E45CF0"/>
    <w:rsid w:val="00E5199A"/>
    <w:rsid w:val="00E646C8"/>
    <w:rsid w:val="00E70D36"/>
    <w:rsid w:val="00E85709"/>
    <w:rsid w:val="00E90D96"/>
    <w:rsid w:val="00E94145"/>
    <w:rsid w:val="00EA48E8"/>
    <w:rsid w:val="00EB2CD0"/>
    <w:rsid w:val="00ED1065"/>
    <w:rsid w:val="00ED7594"/>
    <w:rsid w:val="00EE63B3"/>
    <w:rsid w:val="00EE6996"/>
    <w:rsid w:val="00EF0B65"/>
    <w:rsid w:val="00F23499"/>
    <w:rsid w:val="00F40D7F"/>
    <w:rsid w:val="00F62F43"/>
    <w:rsid w:val="00F853B0"/>
    <w:rsid w:val="00F907E4"/>
    <w:rsid w:val="00F96BF5"/>
    <w:rsid w:val="00FA1266"/>
    <w:rsid w:val="00FA2B79"/>
    <w:rsid w:val="00FA3D60"/>
    <w:rsid w:val="00FA529F"/>
    <w:rsid w:val="00FB6E04"/>
    <w:rsid w:val="00FC38D5"/>
    <w:rsid w:val="00FD6EED"/>
    <w:rsid w:val="00FE1C4D"/>
    <w:rsid w:val="00FE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46014"/>
  <w15:docId w15:val="{F3D83DA7-D207-4E7C-8893-4EF7E58D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14F7"/>
    <w:pPr>
      <w:tabs>
        <w:tab w:val="center" w:pos="4320"/>
        <w:tab w:val="right" w:pos="8640"/>
      </w:tabs>
    </w:pPr>
  </w:style>
  <w:style w:type="character" w:customStyle="1" w:styleId="FooterChar">
    <w:name w:val="Footer Char"/>
    <w:basedOn w:val="DefaultParagraphFont"/>
    <w:link w:val="Footer"/>
    <w:uiPriority w:val="99"/>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9D4E8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9D4E88"/>
    <w:rPr>
      <w:color w:val="0000FF"/>
      <w:u w:val="single"/>
    </w:rPr>
  </w:style>
  <w:style w:type="paragraph" w:styleId="FootnoteText">
    <w:name w:val="footnote text"/>
    <w:basedOn w:val="Normal"/>
    <w:link w:val="FootnoteTextChar"/>
    <w:uiPriority w:val="99"/>
    <w:semiHidden/>
    <w:unhideWhenUsed/>
    <w:rsid w:val="004F07FB"/>
    <w:rPr>
      <w:sz w:val="20"/>
      <w:szCs w:val="20"/>
    </w:rPr>
  </w:style>
  <w:style w:type="character" w:customStyle="1" w:styleId="FootnoteTextChar">
    <w:name w:val="Footnote Text Char"/>
    <w:basedOn w:val="DefaultParagraphFont"/>
    <w:link w:val="FootnoteText"/>
    <w:uiPriority w:val="99"/>
    <w:semiHidden/>
    <w:rsid w:val="004F07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F07FB"/>
    <w:rPr>
      <w:vertAlign w:val="superscript"/>
    </w:rPr>
  </w:style>
  <w:style w:type="paragraph" w:styleId="NormalWeb">
    <w:name w:val="Normal (Web)"/>
    <w:basedOn w:val="Normal"/>
    <w:uiPriority w:val="99"/>
    <w:unhideWhenUsed/>
    <w:rsid w:val="009959E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4927">
      <w:bodyDiv w:val="1"/>
      <w:marLeft w:val="0"/>
      <w:marRight w:val="0"/>
      <w:marTop w:val="0"/>
      <w:marBottom w:val="0"/>
      <w:divBdr>
        <w:top w:val="none" w:sz="0" w:space="0" w:color="auto"/>
        <w:left w:val="none" w:sz="0" w:space="0" w:color="auto"/>
        <w:bottom w:val="none" w:sz="0" w:space="0" w:color="auto"/>
        <w:right w:val="none" w:sz="0" w:space="0" w:color="auto"/>
      </w:divBdr>
    </w:div>
    <w:div w:id="9841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free-meals-in-further-education-funded-institutions-guide-for-the-2021-to-2022-academic-yea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16-to-19-bursary-fund-guide-2021-to-2022-academic-year?es_c=6A1DA014AB5C56F3BFBC5613F85650ED&amp;es_cl=CFE90551E448FE3C260CFA7EB8783819&amp;es_id=9d%c2%a3o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free-meals-in-further-education-funded-institutions-guide-for-the-2021-to-2022-academic-ye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uk/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a.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eytosuccess.education.gov.uk" TargetMode="External"/><Relationship Id="rId2" Type="http://schemas.openxmlformats.org/officeDocument/2006/relationships/hyperlink" Target="https://www.gov.uk/guidance/free-meals-in-further-education-funded-institutions-guide-for-the-2021-to-2022-academic-year" TargetMode="External"/><Relationship Id="rId1" Type="http://schemas.openxmlformats.org/officeDocument/2006/relationships/hyperlink" Target="http://www.gov.uk/education" TargetMode="External"/><Relationship Id="rId4" Type="http://schemas.openxmlformats.org/officeDocument/2006/relationships/hyperlink" Target="https://www.gov.uk/guidance/16-to-19-bursary-fund-guide-2021-to-2022-academic-year?es_c=6A1DA014AB5C56F3BFBC5613F85650ED&amp;es_cl=CFE90551E448FE3C260CFA7EB8783819&amp;es_id=9d%c2%a3o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shall\OneDrive%20-%20The%20Potteries%20Educational%20Trust\Policies%20and%20proforma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6b1529-61b6-4681-b9c0-de5f8f7d3f74" xsi:nil="true"/>
    <lcf76f155ced4ddcb4097134ff3c332f xmlns="13d38109-162f-43d4-b249-5421b9372c10">
      <Terms xmlns="http://schemas.microsoft.com/office/infopath/2007/PartnerControls"/>
    </lcf76f155ced4ddcb4097134ff3c332f>
    <Notes xmlns="13d38109-162f-43d4-b249-5421b9372c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A7C6246F9F4459514D7640204A5D3" ma:contentTypeVersion="16" ma:contentTypeDescription="Create a new document." ma:contentTypeScope="" ma:versionID="7fa5916df9f273fb95661d38e23fde7e">
  <xsd:schema xmlns:xsd="http://www.w3.org/2001/XMLSchema" xmlns:xs="http://www.w3.org/2001/XMLSchema" xmlns:p="http://schemas.microsoft.com/office/2006/metadata/properties" xmlns:ns2="13d38109-162f-43d4-b249-5421b9372c10" xmlns:ns3="b26b1529-61b6-4681-b9c0-de5f8f7d3f74" targetNamespace="http://schemas.microsoft.com/office/2006/metadata/properties" ma:root="true" ma:fieldsID="2dd4c159f4e31d45d7c44b4329ae9040" ns2:_="" ns3:_="">
    <xsd:import namespace="13d38109-162f-43d4-b249-5421b9372c10"/>
    <xsd:import namespace="b26b1529-61b6-4681-b9c0-de5f8f7d3f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8109-162f-43d4-b249-5421b9372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ad77a8-ff0f-498c-841b-7e2751a9fe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b1529-61b6-4681-b9c0-de5f8f7d3f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f93a0-87cf-48c1-8f6b-e8cf82fb71e1}" ma:internalName="TaxCatchAll" ma:showField="CatchAllData" ma:web="b26b1529-61b6-4681-b9c0-de5f8f7d3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EBCC9-7989-455B-8842-01B2CB528BF3}">
  <ds:schemaRefs>
    <ds:schemaRef ds:uri="http://schemas.openxmlformats.org/officeDocument/2006/bibliography"/>
  </ds:schemaRefs>
</ds:datastoreItem>
</file>

<file path=customXml/itemProps2.xml><?xml version="1.0" encoding="utf-8"?>
<ds:datastoreItem xmlns:ds="http://schemas.openxmlformats.org/officeDocument/2006/customXml" ds:itemID="{3A307A81-E059-42D9-981E-7C382914FFF0}">
  <ds:schemaRefs>
    <ds:schemaRef ds:uri="http://schemas.microsoft.com/sharepoint/v3/contenttype/forms"/>
  </ds:schemaRefs>
</ds:datastoreItem>
</file>

<file path=customXml/itemProps3.xml><?xml version="1.0" encoding="utf-8"?>
<ds:datastoreItem xmlns:ds="http://schemas.openxmlformats.org/officeDocument/2006/customXml" ds:itemID="{CB758AFF-D797-429C-B345-0B7EEBB3BED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ffeadb88-c105-4c59-9e0c-c439f9ca9817"/>
    <ds:schemaRef ds:uri="2bc63cda-b415-4e10-9ea0-ebe007dd5065"/>
    <ds:schemaRef ds:uri="http://www.w3.org/XML/1998/namespace"/>
  </ds:schemaRefs>
</ds:datastoreItem>
</file>

<file path=customXml/itemProps4.xml><?xml version="1.0" encoding="utf-8"?>
<ds:datastoreItem xmlns:ds="http://schemas.openxmlformats.org/officeDocument/2006/customXml" ds:itemID="{F5A081DE-3600-4BF3-A86C-B272796249F1}"/>
</file>

<file path=docProps/app.xml><?xml version="1.0" encoding="utf-8"?>
<Properties xmlns="http://schemas.openxmlformats.org/officeDocument/2006/extended-properties" xmlns:vt="http://schemas.openxmlformats.org/officeDocument/2006/docPropsVTypes">
  <Template>Policy</Template>
  <TotalTime>1</TotalTime>
  <Pages>8</Pages>
  <Words>2178</Words>
  <Characters>12415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Potteries Educational Trust</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Marshall</dc:creator>
  <cp:lastModifiedBy>Denise Tarpey (DT4)</cp:lastModifiedBy>
  <cp:revision>2</cp:revision>
  <cp:lastPrinted>2021-06-17T08:46:00Z</cp:lastPrinted>
  <dcterms:created xsi:type="dcterms:W3CDTF">2023-02-06T10:54:00Z</dcterms:created>
  <dcterms:modified xsi:type="dcterms:W3CDTF">2023-02-06T10:54:00Z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0x010100714A7C6246F9F4459514D7640204A5D3</vt:lpwstr>
  </property>
</Properties>
</file>